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12" w:type="dxa"/>
        <w:tblCellMar>
          <w:top w:w="24" w:type="dxa"/>
          <w:left w:w="24" w:type="dxa"/>
          <w:bottom w:w="24" w:type="dxa"/>
          <w:right w:w="24" w:type="dxa"/>
        </w:tblCellMar>
        <w:tblLook w:val="04A0" w:firstRow="1" w:lastRow="0" w:firstColumn="1" w:lastColumn="0" w:noHBand="0" w:noVBand="1"/>
      </w:tblPr>
      <w:tblGrid>
        <w:gridCol w:w="1164"/>
        <w:gridCol w:w="8292"/>
      </w:tblGrid>
      <w:tr w:rsidR="009D3F3C" w:rsidRPr="009D3F3C" w:rsidTr="009D3F3C">
        <w:trPr>
          <w:tblCellSpacing w:w="12" w:type="dxa"/>
        </w:trPr>
        <w:tc>
          <w:tcPr>
            <w:tcW w:w="500" w:type="pct"/>
            <w:vMerge w:val="restart"/>
            <w:hideMark/>
          </w:tcPr>
          <w:p w:rsidR="009D3F3C" w:rsidRPr="009D3F3C" w:rsidRDefault="009D3F3C" w:rsidP="009D3F3C">
            <w:pPr>
              <w:spacing w:after="0" w:line="240" w:lineRule="auto"/>
              <w:rPr>
                <w:rFonts w:ascii="Times New Roman" w:eastAsia="Times New Roman" w:hAnsi="Times New Roman" w:cs="Times New Roman"/>
                <w:sz w:val="24"/>
                <w:szCs w:val="24"/>
              </w:rPr>
            </w:pPr>
            <w:bookmarkStart w:id="0" w:name="disp0"/>
            <w:bookmarkEnd w:id="0"/>
            <w:r>
              <w:rPr>
                <w:rFonts w:ascii="Times New Roman" w:eastAsia="Times New Roman" w:hAnsi="Times New Roman" w:cs="Times New Roman"/>
                <w:noProof/>
                <w:color w:val="0000FF"/>
                <w:sz w:val="24"/>
                <w:szCs w:val="24"/>
              </w:rPr>
              <w:drawing>
                <wp:inline distT="0" distB="0" distL="0" distR="0">
                  <wp:extent cx="685800" cy="685800"/>
                  <wp:effectExtent l="0" t="0" r="0" b="0"/>
                  <wp:docPr id="5" name="Picture 5" descr="AustLII">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stLII">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p>
        </w:tc>
        <w:tc>
          <w:tcPr>
            <w:tcW w:w="4000" w:type="pct"/>
            <w:hideMark/>
          </w:tcPr>
          <w:p w:rsidR="009D3F3C" w:rsidRPr="009D3F3C" w:rsidRDefault="009D3F3C" w:rsidP="009D3F3C">
            <w:pPr>
              <w:spacing w:after="0" w:line="240" w:lineRule="auto"/>
              <w:rPr>
                <w:rFonts w:ascii="Times New Roman" w:eastAsia="Times New Roman" w:hAnsi="Times New Roman" w:cs="Times New Roman"/>
                <w:sz w:val="24"/>
                <w:szCs w:val="24"/>
              </w:rPr>
            </w:pPr>
            <w:hyperlink r:id="rId7" w:history="1">
              <w:r w:rsidRPr="009D3F3C">
                <w:rPr>
                  <w:rFonts w:ascii="Times New Roman" w:eastAsia="Times New Roman" w:hAnsi="Times New Roman" w:cs="Times New Roman"/>
                  <w:color w:val="0000FF"/>
                  <w:sz w:val="20"/>
                  <w:szCs w:val="20"/>
                  <w:u w:val="single"/>
                </w:rPr>
                <w:t>Home</w:t>
              </w:r>
            </w:hyperlink>
            <w:r w:rsidRPr="009D3F3C">
              <w:rPr>
                <w:rFonts w:ascii="Times New Roman" w:eastAsia="Times New Roman" w:hAnsi="Times New Roman" w:cs="Times New Roman"/>
                <w:sz w:val="20"/>
                <w:szCs w:val="20"/>
              </w:rPr>
              <w:t xml:space="preserve"> | </w:t>
            </w:r>
            <w:hyperlink r:id="rId8" w:history="1">
              <w:r w:rsidRPr="009D3F3C">
                <w:rPr>
                  <w:rFonts w:ascii="Times New Roman" w:eastAsia="Times New Roman" w:hAnsi="Times New Roman" w:cs="Times New Roman"/>
                  <w:color w:val="0000FF"/>
                  <w:sz w:val="20"/>
                  <w:szCs w:val="20"/>
                  <w:u w:val="single"/>
                </w:rPr>
                <w:t>Databases</w:t>
              </w:r>
            </w:hyperlink>
            <w:r w:rsidRPr="009D3F3C">
              <w:rPr>
                <w:rFonts w:ascii="Times New Roman" w:eastAsia="Times New Roman" w:hAnsi="Times New Roman" w:cs="Times New Roman"/>
                <w:sz w:val="20"/>
                <w:szCs w:val="20"/>
              </w:rPr>
              <w:t xml:space="preserve"> | </w:t>
            </w:r>
            <w:hyperlink r:id="rId9" w:history="1">
              <w:proofErr w:type="spellStart"/>
              <w:r w:rsidRPr="009D3F3C">
                <w:rPr>
                  <w:rFonts w:ascii="Times New Roman" w:eastAsia="Times New Roman" w:hAnsi="Times New Roman" w:cs="Times New Roman"/>
                  <w:color w:val="0000FF"/>
                  <w:sz w:val="20"/>
                  <w:szCs w:val="20"/>
                  <w:u w:val="single"/>
                </w:rPr>
                <w:t>WorldLII</w:t>
              </w:r>
              <w:proofErr w:type="spellEnd"/>
            </w:hyperlink>
            <w:r w:rsidRPr="009D3F3C">
              <w:rPr>
                <w:rFonts w:ascii="Times New Roman" w:eastAsia="Times New Roman" w:hAnsi="Times New Roman" w:cs="Times New Roman"/>
                <w:sz w:val="20"/>
                <w:szCs w:val="20"/>
              </w:rPr>
              <w:t xml:space="preserve"> | </w:t>
            </w:r>
            <w:hyperlink r:id="rId10" w:history="1">
              <w:r w:rsidRPr="009D3F3C">
                <w:rPr>
                  <w:rFonts w:ascii="Times New Roman" w:eastAsia="Times New Roman" w:hAnsi="Times New Roman" w:cs="Times New Roman"/>
                  <w:color w:val="0000FF"/>
                  <w:sz w:val="20"/>
                  <w:szCs w:val="20"/>
                  <w:u w:val="single"/>
                </w:rPr>
                <w:t>Search</w:t>
              </w:r>
            </w:hyperlink>
            <w:r w:rsidRPr="009D3F3C">
              <w:rPr>
                <w:rFonts w:ascii="Times New Roman" w:eastAsia="Times New Roman" w:hAnsi="Times New Roman" w:cs="Times New Roman"/>
                <w:sz w:val="20"/>
                <w:szCs w:val="20"/>
              </w:rPr>
              <w:t xml:space="preserve"> | </w:t>
            </w:r>
            <w:hyperlink r:id="rId11" w:history="1">
              <w:r w:rsidRPr="009D3F3C">
                <w:rPr>
                  <w:rFonts w:ascii="Times New Roman" w:eastAsia="Times New Roman" w:hAnsi="Times New Roman" w:cs="Times New Roman"/>
                  <w:color w:val="0000FF"/>
                  <w:sz w:val="20"/>
                  <w:szCs w:val="20"/>
                  <w:u w:val="single"/>
                </w:rPr>
                <w:t>Feedback</w:t>
              </w:r>
            </w:hyperlink>
            <w:r w:rsidRPr="009D3F3C">
              <w:rPr>
                <w:rFonts w:ascii="Times New Roman" w:eastAsia="Times New Roman" w:hAnsi="Times New Roman" w:cs="Times New Roman"/>
                <w:sz w:val="20"/>
                <w:szCs w:val="20"/>
              </w:rPr>
              <w:t xml:space="preserve"> </w:t>
            </w:r>
          </w:p>
          <w:p w:rsidR="009D3F3C" w:rsidRPr="009D3F3C" w:rsidRDefault="009D3F3C" w:rsidP="009D3F3C">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9D3F3C">
              <w:rPr>
                <w:rFonts w:ascii="Times New Roman" w:eastAsia="Times New Roman" w:hAnsi="Times New Roman" w:cs="Times New Roman"/>
                <w:b/>
                <w:bCs/>
                <w:kern w:val="36"/>
                <w:sz w:val="48"/>
                <w:szCs w:val="48"/>
              </w:rPr>
              <w:t>Supreme Court of New South Wales</w:t>
            </w:r>
          </w:p>
        </w:tc>
      </w:tr>
      <w:tr w:rsidR="009D3F3C" w:rsidRPr="009D3F3C" w:rsidTr="009D3F3C">
        <w:trPr>
          <w:gridAfter w:val="1"/>
          <w:wAfter w:w="7452" w:type="dxa"/>
          <w:trHeight w:val="276"/>
          <w:tblCellSpacing w:w="12" w:type="dxa"/>
        </w:trPr>
        <w:tc>
          <w:tcPr>
            <w:tcW w:w="0" w:type="auto"/>
            <w:vMerge/>
            <w:vAlign w:val="center"/>
            <w:hideMark/>
          </w:tcPr>
          <w:p w:rsidR="009D3F3C" w:rsidRPr="009D3F3C" w:rsidRDefault="009D3F3C" w:rsidP="009D3F3C">
            <w:pPr>
              <w:spacing w:after="0" w:line="240" w:lineRule="auto"/>
              <w:rPr>
                <w:rFonts w:ascii="Times New Roman" w:eastAsia="Times New Roman" w:hAnsi="Times New Roman" w:cs="Times New Roman"/>
                <w:sz w:val="24"/>
                <w:szCs w:val="24"/>
              </w:rPr>
            </w:pPr>
          </w:p>
        </w:tc>
      </w:tr>
    </w:tbl>
    <w:p w:rsidR="009D3F3C" w:rsidRPr="009D3F3C" w:rsidRDefault="009D3F3C" w:rsidP="009D3F3C">
      <w:pPr>
        <w:spacing w:after="0"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b/>
          <w:bCs/>
          <w:sz w:val="20"/>
          <w:szCs w:val="20"/>
        </w:rPr>
        <w:t>You are here:</w:t>
      </w:r>
      <w:r w:rsidRPr="009D3F3C">
        <w:rPr>
          <w:rFonts w:ascii="Times New Roman" w:eastAsia="Times New Roman" w:hAnsi="Times New Roman" w:cs="Times New Roman"/>
          <w:sz w:val="20"/>
          <w:szCs w:val="20"/>
        </w:rPr>
        <w:t xml:space="preserve">  </w:t>
      </w:r>
      <w:hyperlink r:id="rId12" w:history="1">
        <w:r w:rsidRPr="009D3F3C">
          <w:rPr>
            <w:rFonts w:ascii="Times New Roman" w:eastAsia="Times New Roman" w:hAnsi="Times New Roman" w:cs="Times New Roman"/>
            <w:color w:val="0000FF"/>
            <w:sz w:val="20"/>
            <w:szCs w:val="20"/>
            <w:u w:val="single"/>
          </w:rPr>
          <w:t>AustLII</w:t>
        </w:r>
      </w:hyperlink>
      <w:r w:rsidRPr="009D3F3C">
        <w:rPr>
          <w:rFonts w:ascii="Times New Roman" w:eastAsia="Times New Roman" w:hAnsi="Times New Roman" w:cs="Times New Roman"/>
          <w:sz w:val="20"/>
          <w:szCs w:val="20"/>
        </w:rPr>
        <w:t xml:space="preserve"> &gt;&gt; </w:t>
      </w:r>
      <w:hyperlink r:id="rId13" w:history="1">
        <w:r w:rsidRPr="009D3F3C">
          <w:rPr>
            <w:rFonts w:ascii="Times New Roman" w:eastAsia="Times New Roman" w:hAnsi="Times New Roman" w:cs="Times New Roman"/>
            <w:color w:val="0000FF"/>
            <w:sz w:val="20"/>
            <w:szCs w:val="20"/>
            <w:u w:val="single"/>
          </w:rPr>
          <w:t>Databases</w:t>
        </w:r>
      </w:hyperlink>
      <w:r w:rsidRPr="009D3F3C">
        <w:rPr>
          <w:rFonts w:ascii="Times New Roman" w:eastAsia="Times New Roman" w:hAnsi="Times New Roman" w:cs="Times New Roman"/>
          <w:sz w:val="20"/>
          <w:szCs w:val="20"/>
        </w:rPr>
        <w:t xml:space="preserve"> &gt;&gt; </w:t>
      </w:r>
      <w:hyperlink r:id="rId14" w:history="1">
        <w:r w:rsidRPr="009D3F3C">
          <w:rPr>
            <w:rFonts w:ascii="Times New Roman" w:eastAsia="Times New Roman" w:hAnsi="Times New Roman" w:cs="Times New Roman"/>
            <w:color w:val="0000FF"/>
            <w:sz w:val="20"/>
            <w:szCs w:val="20"/>
            <w:u w:val="single"/>
          </w:rPr>
          <w:t>Supreme Court of New South Wales</w:t>
        </w:r>
      </w:hyperlink>
      <w:r w:rsidRPr="009D3F3C">
        <w:rPr>
          <w:rFonts w:ascii="Times New Roman" w:eastAsia="Times New Roman" w:hAnsi="Times New Roman" w:cs="Times New Roman"/>
          <w:sz w:val="20"/>
          <w:szCs w:val="20"/>
        </w:rPr>
        <w:t xml:space="preserve"> &gt;&gt; </w:t>
      </w:r>
      <w:hyperlink r:id="rId15" w:history="1">
        <w:r w:rsidRPr="009D3F3C">
          <w:rPr>
            <w:rFonts w:ascii="Times New Roman" w:eastAsia="Times New Roman" w:hAnsi="Times New Roman" w:cs="Times New Roman"/>
            <w:color w:val="0000FF"/>
            <w:sz w:val="20"/>
            <w:szCs w:val="20"/>
            <w:u w:val="single"/>
          </w:rPr>
          <w:t>1998</w:t>
        </w:r>
      </w:hyperlink>
      <w:r w:rsidRPr="009D3F3C">
        <w:rPr>
          <w:rFonts w:ascii="Times New Roman" w:eastAsia="Times New Roman" w:hAnsi="Times New Roman" w:cs="Times New Roman"/>
          <w:sz w:val="20"/>
          <w:szCs w:val="20"/>
        </w:rPr>
        <w:t xml:space="preserve"> &gt;&gt; </w:t>
      </w:r>
      <w:r w:rsidRPr="009D3F3C">
        <w:rPr>
          <w:rFonts w:ascii="Times New Roman" w:eastAsia="Times New Roman" w:hAnsi="Times New Roman" w:cs="Times New Roman"/>
          <w:b/>
          <w:bCs/>
          <w:sz w:val="20"/>
          <w:szCs w:val="20"/>
        </w:rPr>
        <w:t>[1998] NSWSC 787</w:t>
      </w:r>
      <w:r w:rsidRPr="009D3F3C">
        <w:rPr>
          <w:rFonts w:ascii="Times New Roman" w:eastAsia="Times New Roman" w:hAnsi="Times New Roman" w:cs="Times New Roman"/>
          <w:sz w:val="20"/>
          <w:szCs w:val="20"/>
        </w:rPr>
        <w:t xml:space="preserve"> </w:t>
      </w:r>
    </w:p>
    <w:p w:rsidR="009D3F3C" w:rsidRPr="009D3F3C" w:rsidRDefault="009D3F3C" w:rsidP="009D3F3C">
      <w:pPr>
        <w:spacing w:after="0" w:line="240" w:lineRule="auto"/>
        <w:rPr>
          <w:rFonts w:ascii="Times New Roman" w:eastAsia="Times New Roman" w:hAnsi="Times New Roman" w:cs="Times New Roman"/>
          <w:sz w:val="24"/>
          <w:szCs w:val="24"/>
        </w:rPr>
      </w:pPr>
      <w:hyperlink r:id="rId16" w:history="1">
        <w:r w:rsidRPr="009D3F3C">
          <w:rPr>
            <w:rFonts w:ascii="Times New Roman" w:eastAsia="Times New Roman" w:hAnsi="Times New Roman" w:cs="Times New Roman"/>
            <w:color w:val="0000FF"/>
            <w:sz w:val="20"/>
            <w:szCs w:val="20"/>
            <w:u w:val="single"/>
          </w:rPr>
          <w:t>Database Search</w:t>
        </w:r>
      </w:hyperlink>
      <w:r w:rsidRPr="009D3F3C">
        <w:rPr>
          <w:rFonts w:ascii="Times New Roman" w:eastAsia="Times New Roman" w:hAnsi="Times New Roman" w:cs="Times New Roman"/>
          <w:sz w:val="20"/>
          <w:szCs w:val="20"/>
        </w:rPr>
        <w:t xml:space="preserve"> | </w:t>
      </w:r>
      <w:hyperlink r:id="rId17" w:history="1">
        <w:r w:rsidRPr="009D3F3C">
          <w:rPr>
            <w:rFonts w:ascii="Times New Roman" w:eastAsia="Times New Roman" w:hAnsi="Times New Roman" w:cs="Times New Roman"/>
            <w:color w:val="0000FF"/>
            <w:sz w:val="20"/>
            <w:szCs w:val="20"/>
            <w:u w:val="single"/>
          </w:rPr>
          <w:t>Name Search</w:t>
        </w:r>
      </w:hyperlink>
      <w:r w:rsidRPr="009D3F3C">
        <w:rPr>
          <w:rFonts w:ascii="Times New Roman" w:eastAsia="Times New Roman" w:hAnsi="Times New Roman" w:cs="Times New Roman"/>
          <w:sz w:val="20"/>
          <w:szCs w:val="20"/>
        </w:rPr>
        <w:t xml:space="preserve"> | </w:t>
      </w:r>
      <w:hyperlink r:id="rId18" w:history="1">
        <w:r w:rsidRPr="009D3F3C">
          <w:rPr>
            <w:rFonts w:ascii="Times New Roman" w:eastAsia="Times New Roman" w:hAnsi="Times New Roman" w:cs="Times New Roman"/>
            <w:color w:val="0000FF"/>
            <w:sz w:val="20"/>
            <w:szCs w:val="20"/>
            <w:u w:val="single"/>
          </w:rPr>
          <w:t>Recent Decisions</w:t>
        </w:r>
      </w:hyperlink>
      <w:r w:rsidRPr="009D3F3C">
        <w:rPr>
          <w:rFonts w:ascii="Times New Roman" w:eastAsia="Times New Roman" w:hAnsi="Times New Roman" w:cs="Times New Roman"/>
          <w:sz w:val="20"/>
          <w:szCs w:val="20"/>
        </w:rPr>
        <w:t xml:space="preserve"> | </w:t>
      </w:r>
      <w:hyperlink r:id="rId19" w:history="1">
        <w:proofErr w:type="spellStart"/>
        <w:r w:rsidRPr="009D3F3C">
          <w:rPr>
            <w:rFonts w:ascii="Times New Roman" w:eastAsia="Times New Roman" w:hAnsi="Times New Roman" w:cs="Times New Roman"/>
            <w:color w:val="0000FF"/>
            <w:sz w:val="20"/>
            <w:szCs w:val="20"/>
            <w:u w:val="single"/>
          </w:rPr>
          <w:t>Noteup</w:t>
        </w:r>
        <w:proofErr w:type="spellEnd"/>
      </w:hyperlink>
      <w:r w:rsidRPr="009D3F3C">
        <w:rPr>
          <w:rFonts w:ascii="Times New Roman" w:eastAsia="Times New Roman" w:hAnsi="Times New Roman" w:cs="Times New Roman"/>
          <w:sz w:val="20"/>
          <w:szCs w:val="20"/>
        </w:rPr>
        <w:t xml:space="preserve"> | </w:t>
      </w:r>
      <w:hyperlink r:id="rId20" w:history="1">
        <w:r w:rsidRPr="009D3F3C">
          <w:rPr>
            <w:rFonts w:ascii="Times New Roman" w:eastAsia="Times New Roman" w:hAnsi="Times New Roman" w:cs="Times New Roman"/>
            <w:color w:val="0000FF"/>
            <w:sz w:val="20"/>
            <w:szCs w:val="20"/>
            <w:u w:val="single"/>
          </w:rPr>
          <w:t>LawCite</w:t>
        </w:r>
      </w:hyperlink>
      <w:r w:rsidRPr="009D3F3C">
        <w:rPr>
          <w:rFonts w:ascii="Times New Roman" w:eastAsia="Times New Roman" w:hAnsi="Times New Roman" w:cs="Times New Roman"/>
          <w:sz w:val="20"/>
          <w:szCs w:val="20"/>
        </w:rPr>
        <w:t xml:space="preserve"> | </w:t>
      </w:r>
      <w:hyperlink r:id="rId21" w:anchor="disp1" w:tooltip="First Hit" w:history="1">
        <w:r w:rsidRPr="009D3F3C">
          <w:rPr>
            <w:rFonts w:ascii="Times New Roman" w:eastAsia="Times New Roman" w:hAnsi="Times New Roman" w:cs="Times New Roman"/>
            <w:color w:val="0000FF"/>
            <w:sz w:val="20"/>
            <w:szCs w:val="20"/>
            <w:u w:val="single"/>
          </w:rPr>
          <w:t>Context</w:t>
        </w:r>
      </w:hyperlink>
      <w:r w:rsidRPr="009D3F3C">
        <w:rPr>
          <w:rFonts w:ascii="Times New Roman" w:eastAsia="Times New Roman" w:hAnsi="Times New Roman" w:cs="Times New Roman"/>
          <w:sz w:val="20"/>
          <w:szCs w:val="20"/>
        </w:rPr>
        <w:t xml:space="preserve"> | </w:t>
      </w:r>
      <w:hyperlink r:id="rId22" w:tooltip="Turn Context Off" w:history="1">
        <w:r w:rsidRPr="009D3F3C">
          <w:rPr>
            <w:rFonts w:ascii="Times New Roman" w:eastAsia="Times New Roman" w:hAnsi="Times New Roman" w:cs="Times New Roman"/>
            <w:color w:val="0000FF"/>
            <w:sz w:val="20"/>
            <w:szCs w:val="20"/>
            <w:u w:val="single"/>
          </w:rPr>
          <w:t>No Context</w:t>
        </w:r>
      </w:hyperlink>
      <w:r w:rsidRPr="009D3F3C">
        <w:rPr>
          <w:rFonts w:ascii="Times New Roman" w:eastAsia="Times New Roman" w:hAnsi="Times New Roman" w:cs="Times New Roman"/>
          <w:sz w:val="20"/>
          <w:szCs w:val="20"/>
        </w:rPr>
        <w:t xml:space="preserve"> | </w:t>
      </w:r>
      <w:hyperlink r:id="rId23" w:tooltip="Help" w:history="1">
        <w:r w:rsidRPr="009D3F3C">
          <w:rPr>
            <w:rFonts w:ascii="Times New Roman" w:eastAsia="Times New Roman" w:hAnsi="Times New Roman" w:cs="Times New Roman"/>
            <w:color w:val="0000FF"/>
            <w:sz w:val="20"/>
            <w:szCs w:val="20"/>
            <w:u w:val="single"/>
          </w:rPr>
          <w:t>Help</w:t>
        </w:r>
      </w:hyperlink>
      <w:r w:rsidRPr="009D3F3C">
        <w:rPr>
          <w:rFonts w:ascii="Times New Roman" w:eastAsia="Times New Roman" w:hAnsi="Times New Roman" w:cs="Times New Roman"/>
          <w:sz w:val="20"/>
          <w:szCs w:val="20"/>
        </w:rPr>
        <w:t xml:space="preserve"> </w:t>
      </w:r>
    </w:p>
    <w:p w:rsidR="009D3F3C" w:rsidRPr="009D3F3C" w:rsidRDefault="009D3F3C" w:rsidP="009D3F3C">
      <w:pPr>
        <w:spacing w:after="0"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pict>
          <v:rect id="_x0000_i1025" style="width:0;height:1.5pt" o:hralign="center" o:hrstd="t" o:hr="t" fillcolor="#a0a0a0" stroked="f"/>
        </w:pict>
      </w:r>
    </w:p>
    <w:p w:rsidR="009D3F3C" w:rsidRPr="009D3F3C" w:rsidRDefault="009D3F3C" w:rsidP="009D3F3C">
      <w:pPr>
        <w:spacing w:before="100" w:beforeAutospacing="1" w:after="100" w:afterAutospacing="1" w:line="240" w:lineRule="auto"/>
        <w:outlineLvl w:val="1"/>
        <w:rPr>
          <w:rFonts w:ascii="Times New Roman" w:eastAsia="Times New Roman" w:hAnsi="Times New Roman" w:cs="Times New Roman"/>
          <w:b/>
          <w:bCs/>
          <w:sz w:val="36"/>
          <w:szCs w:val="36"/>
        </w:rPr>
      </w:pPr>
      <w:bookmarkStart w:id="1" w:name="disp1"/>
      <w:r>
        <w:rPr>
          <w:rFonts w:ascii="Times New Roman" w:eastAsia="Times New Roman" w:hAnsi="Times New Roman" w:cs="Times New Roman"/>
          <w:b/>
          <w:bCs/>
          <w:noProof/>
          <w:color w:val="0000FF"/>
          <w:sz w:val="36"/>
          <w:szCs w:val="36"/>
        </w:rPr>
        <w:drawing>
          <wp:inline distT="0" distB="0" distL="0" distR="0">
            <wp:extent cx="148590" cy="148590"/>
            <wp:effectExtent l="0" t="0" r="3810" b="3810"/>
            <wp:docPr id="4" name="Picture 4" descr="http://www.austlii.edu.au/images/displeft.png">
              <a:hlinkClick xmlns:a="http://schemas.openxmlformats.org/drawingml/2006/main" r:id="rId24"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ustlii.edu.au/images/displeft.png">
                      <a:hlinkClick r:id="rId24" tooltip="&quot;Previous Hit&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bookmarkEnd w:id="1"/>
      <w:r w:rsidRPr="009D3F3C">
        <w:rPr>
          <w:rFonts w:ascii="Times New Roman" w:eastAsia="Times New Roman" w:hAnsi="Times New Roman" w:cs="Times New Roman"/>
          <w:b/>
          <w:bCs/>
          <w:sz w:val="36"/>
          <w:szCs w:val="36"/>
        </w:rPr>
        <w:t> </w:t>
      </w:r>
      <w:bookmarkStart w:id="2" w:name="_GoBack"/>
      <w:r w:rsidRPr="009D3F3C">
        <w:rPr>
          <w:rFonts w:ascii="Times New Roman" w:eastAsia="Times New Roman" w:hAnsi="Times New Roman" w:cs="Times New Roman"/>
          <w:b/>
          <w:bCs/>
          <w:sz w:val="36"/>
          <w:szCs w:val="36"/>
        </w:rPr>
        <w:t>Cavacourt </w:t>
      </w:r>
      <w:r>
        <w:rPr>
          <w:rFonts w:ascii="Times New Roman" w:eastAsia="Times New Roman" w:hAnsi="Times New Roman" w:cs="Times New Roman"/>
          <w:b/>
          <w:bCs/>
          <w:noProof/>
          <w:color w:val="0000FF"/>
          <w:sz w:val="36"/>
          <w:szCs w:val="36"/>
        </w:rPr>
        <w:drawing>
          <wp:inline distT="0" distB="0" distL="0" distR="0">
            <wp:extent cx="148590" cy="148590"/>
            <wp:effectExtent l="0" t="0" r="3810" b="3810"/>
            <wp:docPr id="3" name="Picture 3" descr="http://www.austlii.edu.au/images/dispright.png">
              <a:hlinkClick xmlns:a="http://schemas.openxmlformats.org/drawingml/2006/main" r:id="rId26"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ustlii.edu.au/images/dispright.png">
                      <a:hlinkClick r:id="rId26" tooltip="&quot;Next Hit&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9D3F3C">
        <w:rPr>
          <w:rFonts w:ascii="Times New Roman" w:eastAsia="Times New Roman" w:hAnsi="Times New Roman" w:cs="Times New Roman"/>
          <w:b/>
          <w:bCs/>
          <w:sz w:val="36"/>
          <w:szCs w:val="36"/>
        </w:rPr>
        <w:t xml:space="preserve"> Pty Limited v Durian (Holdings) Pty Ltd Matter No 2905/98 [1998] NSWSC 787 (18 December 1998)</w:t>
      </w:r>
      <w:bookmarkEnd w:id="2"/>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Last Updated: 17 February 1999</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bookmarkStart w:id="3" w:name="disp2"/>
      <w:r>
        <w:rPr>
          <w:rFonts w:ascii="Times New Roman" w:eastAsia="Times New Roman" w:hAnsi="Times New Roman" w:cs="Times New Roman"/>
          <w:b/>
          <w:bCs/>
          <w:noProof/>
          <w:color w:val="0000FF"/>
          <w:sz w:val="24"/>
          <w:szCs w:val="24"/>
        </w:rPr>
        <w:drawing>
          <wp:inline distT="0" distB="0" distL="0" distR="0">
            <wp:extent cx="148590" cy="148590"/>
            <wp:effectExtent l="0" t="0" r="3810" b="3810"/>
            <wp:docPr id="2" name="Picture 2" descr="http://www.austlii.edu.au/images/displeft.png">
              <a:hlinkClick xmlns:a="http://schemas.openxmlformats.org/drawingml/2006/main" r:id="rId28" tooltip="&quot;Previous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austlii.edu.au/images/displeft.png">
                      <a:hlinkClick r:id="rId28" tooltip="&quot;Previous Hit&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bookmarkEnd w:id="3"/>
      <w:r w:rsidRPr="009D3F3C">
        <w:rPr>
          <w:rFonts w:ascii="Times New Roman" w:eastAsia="Times New Roman" w:hAnsi="Times New Roman" w:cs="Times New Roman"/>
          <w:b/>
          <w:bCs/>
          <w:sz w:val="24"/>
          <w:szCs w:val="24"/>
          <w:u w:val="single"/>
        </w:rPr>
        <w:t> CAVACOURT </w:t>
      </w:r>
      <w:r>
        <w:rPr>
          <w:rFonts w:ascii="Times New Roman" w:eastAsia="Times New Roman" w:hAnsi="Times New Roman" w:cs="Times New Roman"/>
          <w:b/>
          <w:bCs/>
          <w:noProof/>
          <w:color w:val="0000FF"/>
          <w:sz w:val="24"/>
          <w:szCs w:val="24"/>
        </w:rPr>
        <w:drawing>
          <wp:inline distT="0" distB="0" distL="0" distR="0">
            <wp:extent cx="148590" cy="148590"/>
            <wp:effectExtent l="0" t="0" r="3810" b="3810"/>
            <wp:docPr id="1" name="Picture 1" descr="http://www.austlii.edu.au/images/dispright.png">
              <a:hlinkClick xmlns:a="http://schemas.openxmlformats.org/drawingml/2006/main" r:id="rId29" tooltip="&quot;Next H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austlii.edu.au/images/dispright.png">
                      <a:hlinkClick r:id="rId29" tooltip="&quot;Next Hit&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9D3F3C">
        <w:rPr>
          <w:rFonts w:ascii="Times New Roman" w:eastAsia="Times New Roman" w:hAnsi="Times New Roman" w:cs="Times New Roman"/>
          <w:b/>
          <w:bCs/>
          <w:sz w:val="24"/>
          <w:szCs w:val="24"/>
          <w:u w:val="single"/>
        </w:rPr>
        <w:t xml:space="preserve"> PTY LIMITED v DURIAN (HOLDINGS) PTY LTD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b/>
          <w:bCs/>
          <w:sz w:val="24"/>
          <w:szCs w:val="24"/>
        </w:rPr>
        <w:t>2905/98</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b/>
          <w:bCs/>
          <w:sz w:val="24"/>
          <w:szCs w:val="24"/>
        </w:rPr>
        <w:t>18 December 1998</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b/>
          <w:bCs/>
          <w:sz w:val="24"/>
          <w:szCs w:val="24"/>
        </w:rPr>
        <w:t>Young J</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b/>
          <w:bCs/>
          <w:sz w:val="24"/>
          <w:szCs w:val="24"/>
        </w:rPr>
        <w:t>The Supreme Court of New South Wales Equity Division</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b/>
          <w:bCs/>
          <w:sz w:val="24"/>
          <w:szCs w:val="24"/>
        </w:rPr>
        <w:t>JUDGMENT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b/>
          <w:bCs/>
          <w:sz w:val="24"/>
          <w:szCs w:val="24"/>
        </w:rPr>
        <w:t>HIS HONOUR:</w:t>
      </w:r>
      <w:r w:rsidRPr="009D3F3C">
        <w:rPr>
          <w:rFonts w:ascii="Times New Roman" w:eastAsia="Times New Roman" w:hAnsi="Times New Roman" w:cs="Times New Roman"/>
          <w:sz w:val="24"/>
          <w:szCs w:val="24"/>
        </w:rPr>
        <w:t xml:space="preserve"> The present proceedings concern a right of way over the defendant's land at 1-3 </w:t>
      </w:r>
      <w:proofErr w:type="spellStart"/>
      <w:r w:rsidRPr="009D3F3C">
        <w:rPr>
          <w:rFonts w:ascii="Times New Roman" w:eastAsia="Times New Roman" w:hAnsi="Times New Roman" w:cs="Times New Roman"/>
          <w:sz w:val="24"/>
          <w:szCs w:val="24"/>
        </w:rPr>
        <w:t>Ricketty</w:t>
      </w:r>
      <w:proofErr w:type="spellEnd"/>
      <w:r w:rsidRPr="009D3F3C">
        <w:rPr>
          <w:rFonts w:ascii="Times New Roman" w:eastAsia="Times New Roman" w:hAnsi="Times New Roman" w:cs="Times New Roman"/>
          <w:sz w:val="24"/>
          <w:szCs w:val="24"/>
        </w:rPr>
        <w:t xml:space="preserve"> Street, Mascot. The plaintiff is the proprietor of the adjoining land at 5-9 </w:t>
      </w:r>
      <w:proofErr w:type="spellStart"/>
      <w:r w:rsidRPr="009D3F3C">
        <w:rPr>
          <w:rFonts w:ascii="Times New Roman" w:eastAsia="Times New Roman" w:hAnsi="Times New Roman" w:cs="Times New Roman"/>
          <w:sz w:val="24"/>
          <w:szCs w:val="24"/>
        </w:rPr>
        <w:t>Ricketty</w:t>
      </w:r>
      <w:proofErr w:type="spellEnd"/>
      <w:r w:rsidRPr="009D3F3C">
        <w:rPr>
          <w:rFonts w:ascii="Times New Roman" w:eastAsia="Times New Roman" w:hAnsi="Times New Roman" w:cs="Times New Roman"/>
          <w:sz w:val="24"/>
          <w:szCs w:val="24"/>
        </w:rPr>
        <w:t xml:space="preserve"> Street.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Both properties appear to have been created by the landfill projects associated with the deviation of the Cooks River many years ago. Both parcels are consolidations of smaller lots, but the majority of the land seems at one stage to have been resumed by the Minister for Public Works doubtless in connection with the above </w:t>
      </w:r>
      <w:proofErr w:type="spellStart"/>
      <w:r w:rsidRPr="009D3F3C">
        <w:rPr>
          <w:rFonts w:ascii="Times New Roman" w:eastAsia="Times New Roman" w:hAnsi="Times New Roman" w:cs="Times New Roman"/>
          <w:sz w:val="24"/>
          <w:szCs w:val="24"/>
        </w:rPr>
        <w:t>dEviation</w:t>
      </w:r>
      <w:proofErr w:type="spellEnd"/>
      <w:r w:rsidRPr="009D3F3C">
        <w:rPr>
          <w:rFonts w:ascii="Times New Roman" w:eastAsia="Times New Roman" w:hAnsi="Times New Roman" w:cs="Times New Roman"/>
          <w:sz w:val="24"/>
          <w:szCs w:val="24"/>
        </w:rPr>
        <w:t>. The defendant's land adjoins the Alexandra Canal (Shea's Creek) and the plaintiff's land adjoins the defendant's land immediately to the east.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 right of way the subject of these proceedings was created by Grant made by the Minister for Public Works to </w:t>
      </w:r>
      <w:proofErr w:type="spellStart"/>
      <w:r w:rsidRPr="009D3F3C">
        <w:rPr>
          <w:rFonts w:ascii="Times New Roman" w:eastAsia="Times New Roman" w:hAnsi="Times New Roman" w:cs="Times New Roman"/>
          <w:sz w:val="24"/>
          <w:szCs w:val="24"/>
        </w:rPr>
        <w:t>Ansett</w:t>
      </w:r>
      <w:proofErr w:type="spellEnd"/>
      <w:r w:rsidRPr="009D3F3C">
        <w:rPr>
          <w:rFonts w:ascii="Times New Roman" w:eastAsia="Times New Roman" w:hAnsi="Times New Roman" w:cs="Times New Roman"/>
          <w:sz w:val="24"/>
          <w:szCs w:val="24"/>
        </w:rPr>
        <w:t xml:space="preserve"> Transport Industries Limited (</w:t>
      </w:r>
      <w:proofErr w:type="spellStart"/>
      <w:r w:rsidRPr="009D3F3C">
        <w:rPr>
          <w:rFonts w:ascii="Times New Roman" w:eastAsia="Times New Roman" w:hAnsi="Times New Roman" w:cs="Times New Roman"/>
          <w:sz w:val="24"/>
          <w:szCs w:val="24"/>
        </w:rPr>
        <w:t>Ansett</w:t>
      </w:r>
      <w:proofErr w:type="spellEnd"/>
      <w:r w:rsidRPr="009D3F3C">
        <w:rPr>
          <w:rFonts w:ascii="Times New Roman" w:eastAsia="Times New Roman" w:hAnsi="Times New Roman" w:cs="Times New Roman"/>
          <w:sz w:val="24"/>
          <w:szCs w:val="24"/>
        </w:rPr>
        <w:t xml:space="preserve">) on 25 September 1964. The Grant is registered No 959 Book 2781.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is a strip at the eastern side of the defendant's land. The dominant tenement is the land comprised in two certificates of title and some old system land.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The Grant was in the following terms:-</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b/>
          <w:bCs/>
          <w:sz w:val="24"/>
          <w:szCs w:val="24"/>
        </w:rPr>
        <w:t xml:space="preserve">" </w:t>
      </w:r>
      <w:r w:rsidRPr="009D3F3C">
        <w:rPr>
          <w:rFonts w:ascii="Times New Roman" w:eastAsia="Times New Roman" w:hAnsi="Times New Roman" w:cs="Times New Roman"/>
          <w:sz w:val="24"/>
          <w:szCs w:val="24"/>
        </w:rPr>
        <w:t>The</w:t>
      </w:r>
      <w:proofErr w:type="gramEnd"/>
      <w:r w:rsidRPr="009D3F3C">
        <w:rPr>
          <w:rFonts w:ascii="Times New Roman" w:eastAsia="Times New Roman" w:hAnsi="Times New Roman" w:cs="Times New Roman"/>
          <w:sz w:val="24"/>
          <w:szCs w:val="24"/>
        </w:rPr>
        <w:t xml:space="preserve"> Grantor DOTH HEREBY GRANT AND CONVEY unto</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lastRenderedPageBreak/>
        <w:t>the</w:t>
      </w:r>
      <w:proofErr w:type="gramEnd"/>
      <w:r w:rsidRPr="009D3F3C">
        <w:rPr>
          <w:rFonts w:ascii="Times New Roman" w:eastAsia="Times New Roman" w:hAnsi="Times New Roman" w:cs="Times New Roman"/>
          <w:sz w:val="24"/>
          <w:szCs w:val="24"/>
        </w:rPr>
        <w:t xml:space="preserve"> Company as appurtenant to the land described in the Second Schedule hereto (hereinafter called "the dominant tenement") full</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and</w:t>
      </w:r>
      <w:proofErr w:type="gramEnd"/>
      <w:r w:rsidRPr="009D3F3C">
        <w:rPr>
          <w:rFonts w:ascii="Times New Roman" w:eastAsia="Times New Roman" w:hAnsi="Times New Roman" w:cs="Times New Roman"/>
          <w:sz w:val="24"/>
          <w:szCs w:val="24"/>
        </w:rPr>
        <w:t xml:space="preserve"> free right and liberty (but subject to the limitations</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and</w:t>
      </w:r>
      <w:proofErr w:type="gramEnd"/>
      <w:r w:rsidRPr="009D3F3C">
        <w:rPr>
          <w:rFonts w:ascii="Times New Roman" w:eastAsia="Times New Roman" w:hAnsi="Times New Roman" w:cs="Times New Roman"/>
          <w:sz w:val="24"/>
          <w:szCs w:val="24"/>
        </w:rPr>
        <w:t xml:space="preserve"> provisions hereinafter contained) for the Company and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all</w:t>
      </w:r>
      <w:proofErr w:type="gramEnd"/>
      <w:r w:rsidRPr="009D3F3C">
        <w:rPr>
          <w:rFonts w:ascii="Times New Roman" w:eastAsia="Times New Roman" w:hAnsi="Times New Roman" w:cs="Times New Roman"/>
          <w:sz w:val="24"/>
          <w:szCs w:val="24"/>
        </w:rPr>
        <w:t xml:space="preserve"> persons authorised by the Company in common</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nevertheless</w:t>
      </w:r>
      <w:proofErr w:type="gramEnd"/>
      <w:r w:rsidRPr="009D3F3C">
        <w:rPr>
          <w:rFonts w:ascii="Times New Roman" w:eastAsia="Times New Roman" w:hAnsi="Times New Roman" w:cs="Times New Roman"/>
          <w:sz w:val="24"/>
          <w:szCs w:val="24"/>
        </w:rPr>
        <w:t xml:space="preserve"> with the Grantor his successors and assigns</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and</w:t>
      </w:r>
      <w:proofErr w:type="gramEnd"/>
      <w:r w:rsidRPr="009D3F3C">
        <w:rPr>
          <w:rFonts w:ascii="Times New Roman" w:eastAsia="Times New Roman" w:hAnsi="Times New Roman" w:cs="Times New Roman"/>
          <w:sz w:val="24"/>
          <w:szCs w:val="24"/>
        </w:rPr>
        <w:t xml:space="preserve"> all persons bodies or corporations who heretofore have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been</w:t>
      </w:r>
      <w:proofErr w:type="gramEnd"/>
      <w:r w:rsidRPr="009D3F3C">
        <w:rPr>
          <w:rFonts w:ascii="Times New Roman" w:eastAsia="Times New Roman" w:hAnsi="Times New Roman" w:cs="Times New Roman"/>
          <w:sz w:val="24"/>
          <w:szCs w:val="24"/>
        </w:rPr>
        <w:t xml:space="preserve"> or hereafter may be authorised by the Grantor his</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successors</w:t>
      </w:r>
      <w:proofErr w:type="gramEnd"/>
      <w:r w:rsidRPr="009D3F3C">
        <w:rPr>
          <w:rFonts w:ascii="Times New Roman" w:eastAsia="Times New Roman" w:hAnsi="Times New Roman" w:cs="Times New Roman"/>
          <w:sz w:val="24"/>
          <w:szCs w:val="24"/>
        </w:rPr>
        <w:t xml:space="preserve"> or assigns or who have or shall hereafter</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have</w:t>
      </w:r>
      <w:proofErr w:type="gramEnd"/>
      <w:r w:rsidRPr="009D3F3C">
        <w:rPr>
          <w:rFonts w:ascii="Times New Roman" w:eastAsia="Times New Roman" w:hAnsi="Times New Roman" w:cs="Times New Roman"/>
          <w:sz w:val="24"/>
          <w:szCs w:val="24"/>
        </w:rPr>
        <w:t xml:space="preserve"> a like right whether by grant or licence heretofore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or</w:t>
      </w:r>
      <w:proofErr w:type="gramEnd"/>
      <w:r w:rsidRPr="009D3F3C">
        <w:rPr>
          <w:rFonts w:ascii="Times New Roman" w:eastAsia="Times New Roman" w:hAnsi="Times New Roman" w:cs="Times New Roman"/>
          <w:sz w:val="24"/>
          <w:szCs w:val="24"/>
        </w:rPr>
        <w:t xml:space="preserve"> hereafter and by whomsoever made at all times after the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said</w:t>
      </w:r>
      <w:proofErr w:type="gramEnd"/>
      <w:r w:rsidRPr="009D3F3C">
        <w:rPr>
          <w:rFonts w:ascii="Times New Roman" w:eastAsia="Times New Roman" w:hAnsi="Times New Roman" w:cs="Times New Roman"/>
          <w:sz w:val="24"/>
          <w:szCs w:val="24"/>
        </w:rPr>
        <w:t xml:space="preserve"> Grant by the Grantor to the Company of these rights by</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day</w:t>
      </w:r>
      <w:proofErr w:type="gramEnd"/>
      <w:r w:rsidRPr="009D3F3C">
        <w:rPr>
          <w:rFonts w:ascii="Times New Roman" w:eastAsia="Times New Roman" w:hAnsi="Times New Roman" w:cs="Times New Roman"/>
          <w:sz w:val="24"/>
          <w:szCs w:val="24"/>
        </w:rPr>
        <w:t xml:space="preserve"> or by night with or without horses carts carriages motors</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and</w:t>
      </w:r>
      <w:proofErr w:type="gramEnd"/>
      <w:r w:rsidRPr="009D3F3C">
        <w:rPr>
          <w:rFonts w:ascii="Times New Roman" w:eastAsia="Times New Roman" w:hAnsi="Times New Roman" w:cs="Times New Roman"/>
          <w:sz w:val="24"/>
          <w:szCs w:val="24"/>
        </w:rPr>
        <w:t xml:space="preserve"> other vehicles of any description to enter upon go return</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pass</w:t>
      </w:r>
      <w:proofErr w:type="gramEnd"/>
      <w:r w:rsidRPr="009D3F3C">
        <w:rPr>
          <w:rFonts w:ascii="Times New Roman" w:eastAsia="Times New Roman" w:hAnsi="Times New Roman" w:cs="Times New Roman"/>
          <w:sz w:val="24"/>
          <w:szCs w:val="24"/>
        </w:rPr>
        <w:t xml:space="preserve"> and </w:t>
      </w:r>
      <w:proofErr w:type="spellStart"/>
      <w:r w:rsidRPr="009D3F3C">
        <w:rPr>
          <w:rFonts w:ascii="Times New Roman" w:eastAsia="Times New Roman" w:hAnsi="Times New Roman" w:cs="Times New Roman"/>
          <w:sz w:val="24"/>
          <w:szCs w:val="24"/>
        </w:rPr>
        <w:t>repass</w:t>
      </w:r>
      <w:proofErr w:type="spellEnd"/>
      <w:r w:rsidRPr="009D3F3C">
        <w:rPr>
          <w:rFonts w:ascii="Times New Roman" w:eastAsia="Times New Roman" w:hAnsi="Times New Roman" w:cs="Times New Roman"/>
          <w:sz w:val="24"/>
          <w:szCs w:val="24"/>
        </w:rPr>
        <w:t xml:space="preserve"> along over and upon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for</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the</w:t>
      </w:r>
      <w:proofErr w:type="gramEnd"/>
      <w:r w:rsidRPr="009D3F3C">
        <w:rPr>
          <w:rFonts w:ascii="Times New Roman" w:eastAsia="Times New Roman" w:hAnsi="Times New Roman" w:cs="Times New Roman"/>
          <w:sz w:val="24"/>
          <w:szCs w:val="24"/>
        </w:rPr>
        <w:t xml:space="preserve"> purposes of gaining or having reasonable access to and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from</w:t>
      </w:r>
      <w:proofErr w:type="gramEnd"/>
      <w:r w:rsidRPr="009D3F3C">
        <w:rPr>
          <w:rFonts w:ascii="Times New Roman" w:eastAsia="Times New Roman" w:hAnsi="Times New Roman" w:cs="Times New Roman"/>
          <w:sz w:val="24"/>
          <w:szCs w:val="24"/>
        </w:rPr>
        <w:t xml:space="preserve"> the dominant tenement from and to the public highways</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adjoining</w:t>
      </w:r>
      <w:proofErr w:type="gramEnd"/>
      <w:r w:rsidRPr="009D3F3C">
        <w:rPr>
          <w:rFonts w:ascii="Times New Roman" w:eastAsia="Times New Roman" w:hAnsi="Times New Roman" w:cs="Times New Roman"/>
          <w:sz w:val="24"/>
          <w:szCs w:val="24"/>
        </w:rPr>
        <w:t xml:space="preserve">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In 1973, </w:t>
      </w:r>
      <w:proofErr w:type="spellStart"/>
      <w:r w:rsidRPr="009D3F3C">
        <w:rPr>
          <w:rFonts w:ascii="Times New Roman" w:eastAsia="Times New Roman" w:hAnsi="Times New Roman" w:cs="Times New Roman"/>
          <w:sz w:val="24"/>
          <w:szCs w:val="24"/>
        </w:rPr>
        <w:t>Ansett</w:t>
      </w:r>
      <w:proofErr w:type="spellEnd"/>
      <w:r w:rsidRPr="009D3F3C">
        <w:rPr>
          <w:rFonts w:ascii="Times New Roman" w:eastAsia="Times New Roman" w:hAnsi="Times New Roman" w:cs="Times New Roman"/>
          <w:sz w:val="24"/>
          <w:szCs w:val="24"/>
        </w:rPr>
        <w:t xml:space="preserve"> lodged a primary application to bring the old system land benefited by the right of way and other old system land in the vicinity under the </w:t>
      </w:r>
      <w:hyperlink r:id="rId30" w:history="1">
        <w:r w:rsidRPr="009D3F3C">
          <w:rPr>
            <w:rFonts w:ascii="Times New Roman" w:eastAsia="Times New Roman" w:hAnsi="Times New Roman" w:cs="Times New Roman"/>
            <w:color w:val="0000FF"/>
            <w:sz w:val="24"/>
            <w:szCs w:val="24"/>
            <w:u w:val="single"/>
          </w:rPr>
          <w:t>Real Property Act 1900</w:t>
        </w:r>
      </w:hyperlink>
      <w:r w:rsidRPr="009D3F3C">
        <w:rPr>
          <w:rFonts w:ascii="Times New Roman" w:eastAsia="Times New Roman" w:hAnsi="Times New Roman" w:cs="Times New Roman"/>
          <w:sz w:val="24"/>
          <w:szCs w:val="24"/>
        </w:rPr>
        <w:t xml:space="preserve">. This application was granted. By DP 702945 registered 17 September 1984, </w:t>
      </w:r>
      <w:proofErr w:type="spellStart"/>
      <w:r w:rsidRPr="009D3F3C">
        <w:rPr>
          <w:rFonts w:ascii="Times New Roman" w:eastAsia="Times New Roman" w:hAnsi="Times New Roman" w:cs="Times New Roman"/>
          <w:sz w:val="24"/>
          <w:szCs w:val="24"/>
        </w:rPr>
        <w:t>Ansett</w:t>
      </w:r>
      <w:proofErr w:type="spellEnd"/>
      <w:r w:rsidRPr="009D3F3C">
        <w:rPr>
          <w:rFonts w:ascii="Times New Roman" w:eastAsia="Times New Roman" w:hAnsi="Times New Roman" w:cs="Times New Roman"/>
          <w:sz w:val="24"/>
          <w:szCs w:val="24"/>
        </w:rPr>
        <w:t xml:space="preserve"> consolidated its land. The plaintiff is now the registered proprietor of the consolidated title. Exhibit PX04 is a plan of the part of the consolidated land that has the benefit of the right of way. It is roughly 65% of the site: the easternmost part is not benefited nor is some part with a frontage to </w:t>
      </w:r>
      <w:proofErr w:type="spellStart"/>
      <w:r w:rsidRPr="009D3F3C">
        <w:rPr>
          <w:rFonts w:ascii="Times New Roman" w:eastAsia="Times New Roman" w:hAnsi="Times New Roman" w:cs="Times New Roman"/>
          <w:sz w:val="24"/>
          <w:szCs w:val="24"/>
        </w:rPr>
        <w:t>Ricketty</w:t>
      </w:r>
      <w:proofErr w:type="spellEnd"/>
      <w:r w:rsidRPr="009D3F3C">
        <w:rPr>
          <w:rFonts w:ascii="Times New Roman" w:eastAsia="Times New Roman" w:hAnsi="Times New Roman" w:cs="Times New Roman"/>
          <w:sz w:val="24"/>
          <w:szCs w:val="24"/>
        </w:rPr>
        <w:t xml:space="preserve"> Street. I will call the land benefited by the right of way the "Benefited Land" and the balance, the "Additional Land".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 plaintiff's land was used for many years by </w:t>
      </w:r>
      <w:proofErr w:type="spellStart"/>
      <w:r w:rsidRPr="009D3F3C">
        <w:rPr>
          <w:rFonts w:ascii="Times New Roman" w:eastAsia="Times New Roman" w:hAnsi="Times New Roman" w:cs="Times New Roman"/>
          <w:sz w:val="24"/>
          <w:szCs w:val="24"/>
        </w:rPr>
        <w:t>Ansett</w:t>
      </w:r>
      <w:proofErr w:type="spellEnd"/>
      <w:r w:rsidRPr="009D3F3C">
        <w:rPr>
          <w:rFonts w:ascii="Times New Roman" w:eastAsia="Times New Roman" w:hAnsi="Times New Roman" w:cs="Times New Roman"/>
          <w:sz w:val="24"/>
          <w:szCs w:val="24"/>
        </w:rPr>
        <w:t xml:space="preserve"> and connected entities as a freight terminal. It is now vacant and has been so for some years, though the position of former </w:t>
      </w:r>
      <w:r w:rsidRPr="009D3F3C">
        <w:rPr>
          <w:rFonts w:ascii="Times New Roman" w:eastAsia="Times New Roman" w:hAnsi="Times New Roman" w:cs="Times New Roman"/>
          <w:sz w:val="24"/>
          <w:szCs w:val="24"/>
        </w:rPr>
        <w:lastRenderedPageBreak/>
        <w:t>buildings is still clearly marked on the surface of the land. The plaintiff obtained title to its land by transfer registered 16 February 1998. It wishes to develop its land and has lodged plans to do so with Botany Council. The success of having those plans approved and the land being profitably developed in accordance with those plans depends on the ability to make use of the right of way.</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 defendant takes the position that the right of way has been abandoned and has not been used for over 17 years. The defendant acquired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in early 1981. It uses its land for industrial and commercial purposes. In accordance with development approval granted to it in 1988, it applied bitumen to the surface and installed parking for its employees and visitors and has installed a drainage system and other minor improvements to the land immediately adjoining the plaintiff's land. Both the current certificates of title to the relevant parts of the plaintiff's land and those covering the relevant parts of the defendant's land show the right of way as either an encumbrance or an appurtenant right.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 plaintiff, by its summons filed 23 June 1998, seeks a declaration that the right of way subsists and also an injunction to prevent the defendant from obstructing its use. </w:t>
      </w:r>
      <w:proofErr w:type="gramStart"/>
      <w:r w:rsidRPr="009D3F3C">
        <w:rPr>
          <w:rFonts w:ascii="Times New Roman" w:eastAsia="Times New Roman" w:hAnsi="Times New Roman" w:cs="Times New Roman"/>
          <w:sz w:val="24"/>
          <w:szCs w:val="24"/>
        </w:rPr>
        <w:t>The defendant, by its cross claim, seeks an order that the easement be extinguished and a consequential injunction to prevent the plaintiff or its licensees going onto its land.</w:t>
      </w:r>
      <w:proofErr w:type="gramEnd"/>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 heard the proceedings last Tuesday the 15th and Wednesday the 16th including having a view of the site. Many witnesses were called on both sides. Mr S Donaldson for the plaintiff and </w:t>
      </w:r>
      <w:proofErr w:type="spellStart"/>
      <w:r w:rsidRPr="009D3F3C">
        <w:rPr>
          <w:rFonts w:ascii="Times New Roman" w:eastAsia="Times New Roman" w:hAnsi="Times New Roman" w:cs="Times New Roman"/>
          <w:sz w:val="24"/>
          <w:szCs w:val="24"/>
        </w:rPr>
        <w:t>Messrs</w:t>
      </w:r>
      <w:proofErr w:type="spellEnd"/>
      <w:r w:rsidRPr="009D3F3C">
        <w:rPr>
          <w:rFonts w:ascii="Times New Roman" w:eastAsia="Times New Roman" w:hAnsi="Times New Roman" w:cs="Times New Roman"/>
          <w:sz w:val="24"/>
          <w:szCs w:val="24"/>
        </w:rPr>
        <w:t xml:space="preserve"> R McDougall QC and A Lo </w:t>
      </w:r>
      <w:proofErr w:type="spellStart"/>
      <w:r w:rsidRPr="009D3F3C">
        <w:rPr>
          <w:rFonts w:ascii="Times New Roman" w:eastAsia="Times New Roman" w:hAnsi="Times New Roman" w:cs="Times New Roman"/>
          <w:sz w:val="24"/>
          <w:szCs w:val="24"/>
        </w:rPr>
        <w:t>Surdo</w:t>
      </w:r>
      <w:proofErr w:type="spellEnd"/>
      <w:r w:rsidRPr="009D3F3C">
        <w:rPr>
          <w:rFonts w:ascii="Times New Roman" w:eastAsia="Times New Roman" w:hAnsi="Times New Roman" w:cs="Times New Roman"/>
          <w:sz w:val="24"/>
          <w:szCs w:val="24"/>
        </w:rPr>
        <w:t xml:space="preserve"> for the </w:t>
      </w:r>
      <w:proofErr w:type="gramStart"/>
      <w:r w:rsidRPr="009D3F3C">
        <w:rPr>
          <w:rFonts w:ascii="Times New Roman" w:eastAsia="Times New Roman" w:hAnsi="Times New Roman" w:cs="Times New Roman"/>
          <w:sz w:val="24"/>
          <w:szCs w:val="24"/>
        </w:rPr>
        <w:t>defendant,</w:t>
      </w:r>
      <w:proofErr w:type="gramEnd"/>
      <w:r w:rsidRPr="009D3F3C">
        <w:rPr>
          <w:rFonts w:ascii="Times New Roman" w:eastAsia="Times New Roman" w:hAnsi="Times New Roman" w:cs="Times New Roman"/>
          <w:sz w:val="24"/>
          <w:szCs w:val="24"/>
        </w:rPr>
        <w:t xml:space="preserve"> then submitted most helpful and detailed written submissions and spoke to them. I have attributed the defendant's submissions to Mr McDougall QC for the sake of brevity, though I have no doubt that Mr Lo </w:t>
      </w:r>
      <w:proofErr w:type="spellStart"/>
      <w:r w:rsidRPr="009D3F3C">
        <w:rPr>
          <w:rFonts w:ascii="Times New Roman" w:eastAsia="Times New Roman" w:hAnsi="Times New Roman" w:cs="Times New Roman"/>
          <w:sz w:val="24"/>
          <w:szCs w:val="24"/>
        </w:rPr>
        <w:t>Surdo's</w:t>
      </w:r>
      <w:proofErr w:type="spellEnd"/>
      <w:r w:rsidRPr="009D3F3C">
        <w:rPr>
          <w:rFonts w:ascii="Times New Roman" w:eastAsia="Times New Roman" w:hAnsi="Times New Roman" w:cs="Times New Roman"/>
          <w:sz w:val="24"/>
          <w:szCs w:val="24"/>
        </w:rPr>
        <w:t xml:space="preserve"> input was considerable. In view of the detail in those submissions, it was necessary to defer giving my decision until today.</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The logical way to approach this decision is first to deal with a problem that arises under s 88 of the Conveyancing Act 1919 (the Act), then deal with the matters that arise under s 89 of the Act and then consider other problems with the law of easements before reaching a conclusion. I will thus consider the matter under the following heads:-</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1. Is the right of way enforceable in view of the provisions of </w:t>
      </w:r>
      <w:hyperlink r:id="rId31" w:history="1">
        <w:r w:rsidRPr="009D3F3C">
          <w:rPr>
            <w:rFonts w:ascii="Times New Roman" w:eastAsia="Times New Roman" w:hAnsi="Times New Roman" w:cs="Times New Roman"/>
            <w:color w:val="0000FF"/>
            <w:sz w:val="24"/>
            <w:szCs w:val="24"/>
            <w:u w:val="single"/>
          </w:rPr>
          <w:t>s 88</w:t>
        </w:r>
      </w:hyperlink>
      <w:r w:rsidRPr="009D3F3C">
        <w:rPr>
          <w:rFonts w:ascii="Times New Roman" w:eastAsia="Times New Roman" w:hAnsi="Times New Roman" w:cs="Times New Roman"/>
          <w:sz w:val="24"/>
          <w:szCs w:val="24"/>
        </w:rPr>
        <w:t xml:space="preserve"> of the </w:t>
      </w:r>
      <w:hyperlink r:id="rId32" w:history="1">
        <w:r w:rsidRPr="009D3F3C">
          <w:rPr>
            <w:rFonts w:ascii="Times New Roman" w:eastAsia="Times New Roman" w:hAnsi="Times New Roman" w:cs="Times New Roman"/>
            <w:color w:val="0000FF"/>
            <w:sz w:val="24"/>
            <w:szCs w:val="24"/>
            <w:u w:val="single"/>
          </w:rPr>
          <w:t>Conveyancing Act</w:t>
        </w:r>
      </w:hyperlink>
      <w:r w:rsidRPr="009D3F3C">
        <w:rPr>
          <w:rFonts w:ascii="Times New Roman" w:eastAsia="Times New Roman" w:hAnsi="Times New Roman" w:cs="Times New Roman"/>
          <w:sz w:val="24"/>
          <w:szCs w:val="24"/>
        </w:rPr>
        <w: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2. Is the right of way obsolete within the meaning of s 89(1</w:t>
      </w:r>
      <w:proofErr w:type="gramStart"/>
      <w:r w:rsidRPr="009D3F3C">
        <w:rPr>
          <w:rFonts w:ascii="Times New Roman" w:eastAsia="Times New Roman" w:hAnsi="Times New Roman" w:cs="Times New Roman"/>
          <w:sz w:val="24"/>
          <w:szCs w:val="24"/>
        </w:rPr>
        <w:t>)(</w:t>
      </w:r>
      <w:proofErr w:type="gramEnd"/>
      <w:r w:rsidRPr="009D3F3C">
        <w:rPr>
          <w:rFonts w:ascii="Times New Roman" w:eastAsia="Times New Roman" w:hAnsi="Times New Roman" w:cs="Times New Roman"/>
          <w:sz w:val="24"/>
          <w:szCs w:val="24"/>
        </w:rPr>
        <w:t>a) of the Act?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3. Should the right of way be extinguished because it impedes the reasonable user of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land without being of practical benefit within s 88(1</w:t>
      </w:r>
      <w:proofErr w:type="gramStart"/>
      <w:r w:rsidRPr="009D3F3C">
        <w:rPr>
          <w:rFonts w:ascii="Times New Roman" w:eastAsia="Times New Roman" w:hAnsi="Times New Roman" w:cs="Times New Roman"/>
          <w:sz w:val="24"/>
          <w:szCs w:val="24"/>
        </w:rPr>
        <w:t>)(</w:t>
      </w:r>
      <w:proofErr w:type="gramEnd"/>
      <w:r w:rsidRPr="009D3F3C">
        <w:rPr>
          <w:rFonts w:ascii="Times New Roman" w:eastAsia="Times New Roman" w:hAnsi="Times New Roman" w:cs="Times New Roman"/>
          <w:sz w:val="24"/>
          <w:szCs w:val="24"/>
        </w:rPr>
        <w:t>a) of the Act?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4. Has the right of way been abandoned or may it reasonably be considered to be abandoned under s 89(1</w:t>
      </w:r>
      <w:proofErr w:type="gramStart"/>
      <w:r w:rsidRPr="009D3F3C">
        <w:rPr>
          <w:rFonts w:ascii="Times New Roman" w:eastAsia="Times New Roman" w:hAnsi="Times New Roman" w:cs="Times New Roman"/>
          <w:sz w:val="24"/>
          <w:szCs w:val="24"/>
        </w:rPr>
        <w:t>)(</w:t>
      </w:r>
      <w:proofErr w:type="gramEnd"/>
      <w:r w:rsidRPr="009D3F3C">
        <w:rPr>
          <w:rFonts w:ascii="Times New Roman" w:eastAsia="Times New Roman" w:hAnsi="Times New Roman" w:cs="Times New Roman"/>
          <w:sz w:val="24"/>
          <w:szCs w:val="24"/>
        </w:rPr>
        <w:t>b) of the Act?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5. Would the extinguishment of the right of way "substantially injure" the plaintiff within the meaning of s 89(1</w:t>
      </w:r>
      <w:proofErr w:type="gramStart"/>
      <w:r w:rsidRPr="009D3F3C">
        <w:rPr>
          <w:rFonts w:ascii="Times New Roman" w:eastAsia="Times New Roman" w:hAnsi="Times New Roman" w:cs="Times New Roman"/>
          <w:sz w:val="24"/>
          <w:szCs w:val="24"/>
        </w:rPr>
        <w:t>)(</w:t>
      </w:r>
      <w:proofErr w:type="gramEnd"/>
      <w:r w:rsidRPr="009D3F3C">
        <w:rPr>
          <w:rFonts w:ascii="Times New Roman" w:eastAsia="Times New Roman" w:hAnsi="Times New Roman" w:cs="Times New Roman"/>
          <w:sz w:val="24"/>
          <w:szCs w:val="24"/>
        </w:rPr>
        <w:t>c) of the Act?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lastRenderedPageBreak/>
        <w:t>6. Is the plaintiff intending to use the right of way excessively?</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7. What is the result of this litigation?</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1. </w:t>
      </w:r>
      <w:hyperlink r:id="rId33" w:history="1">
        <w:r w:rsidRPr="009D3F3C">
          <w:rPr>
            <w:rFonts w:ascii="Times New Roman" w:eastAsia="Times New Roman" w:hAnsi="Times New Roman" w:cs="Times New Roman"/>
            <w:color w:val="0000FF"/>
            <w:sz w:val="24"/>
            <w:szCs w:val="24"/>
            <w:u w:val="single"/>
          </w:rPr>
          <w:t>Section 88(1)</w:t>
        </w:r>
      </w:hyperlink>
      <w:r w:rsidRPr="009D3F3C">
        <w:rPr>
          <w:rFonts w:ascii="Times New Roman" w:eastAsia="Times New Roman" w:hAnsi="Times New Roman" w:cs="Times New Roman"/>
          <w:sz w:val="24"/>
          <w:szCs w:val="24"/>
        </w:rPr>
        <w:t xml:space="preserve"> of the </w:t>
      </w:r>
      <w:hyperlink r:id="rId34" w:history="1">
        <w:r w:rsidRPr="009D3F3C">
          <w:rPr>
            <w:rFonts w:ascii="Times New Roman" w:eastAsia="Times New Roman" w:hAnsi="Times New Roman" w:cs="Times New Roman"/>
            <w:color w:val="0000FF"/>
            <w:sz w:val="24"/>
            <w:szCs w:val="24"/>
            <w:u w:val="single"/>
          </w:rPr>
          <w:t>Conveyancing Act 1919</w:t>
        </w:r>
      </w:hyperlink>
      <w:r w:rsidRPr="009D3F3C">
        <w:rPr>
          <w:rFonts w:ascii="Times New Roman" w:eastAsia="Times New Roman" w:hAnsi="Times New Roman" w:cs="Times New Roman"/>
          <w:sz w:val="24"/>
          <w:szCs w:val="24"/>
        </w:rPr>
        <w:t xml:space="preserve"> provides that an easement is unenforceable against persons not party to its creation unless the instrument creating it clearly indicates the matters set out in paragraphs (a)-(d) of the sub-section. That this sub-section might have a part to play in this litigation was not raised until closing addresses following my remark that there might be an argument that the whole easement was unenforceable because of this section. Mr McDougall QC then put that as there had been no compliance with the section the easement was unenforceable.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No argument was put to the effect that the description of either the dominant or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tenements was not sufficiently specified. There was some argument addressed to </w:t>
      </w:r>
      <w:hyperlink r:id="rId35" w:history="1">
        <w:r w:rsidRPr="009D3F3C">
          <w:rPr>
            <w:rFonts w:ascii="Times New Roman" w:eastAsia="Times New Roman" w:hAnsi="Times New Roman" w:cs="Times New Roman"/>
            <w:color w:val="0000FF"/>
            <w:sz w:val="24"/>
            <w:szCs w:val="24"/>
            <w:u w:val="single"/>
          </w:rPr>
          <w:t>s 88(1</w:t>
        </w:r>
        <w:proofErr w:type="gramStart"/>
        <w:r w:rsidRPr="009D3F3C">
          <w:rPr>
            <w:rFonts w:ascii="Times New Roman" w:eastAsia="Times New Roman" w:hAnsi="Times New Roman" w:cs="Times New Roman"/>
            <w:color w:val="0000FF"/>
            <w:sz w:val="24"/>
            <w:szCs w:val="24"/>
            <w:u w:val="single"/>
          </w:rPr>
          <w:t>)(</w:t>
        </w:r>
        <w:proofErr w:type="gramEnd"/>
        <w:r w:rsidRPr="009D3F3C">
          <w:rPr>
            <w:rFonts w:ascii="Times New Roman" w:eastAsia="Times New Roman" w:hAnsi="Times New Roman" w:cs="Times New Roman"/>
            <w:color w:val="0000FF"/>
            <w:sz w:val="24"/>
            <w:szCs w:val="24"/>
            <w:u w:val="single"/>
          </w:rPr>
          <w:t>c)</w:t>
        </w:r>
      </w:hyperlink>
      <w:r w:rsidRPr="009D3F3C">
        <w:rPr>
          <w:rFonts w:ascii="Times New Roman" w:eastAsia="Times New Roman" w:hAnsi="Times New Roman" w:cs="Times New Roman"/>
          <w:sz w:val="24"/>
          <w:szCs w:val="24"/>
        </w:rPr>
        <w:t>, but, since the 1995 amendment, this paragraph has not applied to easements. No argument was put as to whether that amendment was powerless to save easements that were up until that time unenforceable.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The argument thus turns around paragraph (d), that is, that the Grant does not specify who must consent to any modification of the easement.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Mr McDougall QC simply says that one just looks at the Grant and one can see instantly that there is no specification as required by paragraph (d). Mr Donaldson submits that where there is no such person, none need be specified and relies on the decision of Waddell, J in </w:t>
      </w:r>
      <w:proofErr w:type="spellStart"/>
      <w:r w:rsidRPr="009D3F3C">
        <w:rPr>
          <w:rFonts w:ascii="Times New Roman" w:eastAsia="Times New Roman" w:hAnsi="Times New Roman" w:cs="Times New Roman"/>
          <w:b/>
          <w:bCs/>
          <w:sz w:val="24"/>
          <w:szCs w:val="24"/>
        </w:rPr>
        <w:t>Vaneris</w:t>
      </w:r>
      <w:proofErr w:type="spellEnd"/>
      <w:r w:rsidRPr="009D3F3C">
        <w:rPr>
          <w:rFonts w:ascii="Times New Roman" w:eastAsia="Times New Roman" w:hAnsi="Times New Roman" w:cs="Times New Roman"/>
          <w:b/>
          <w:bCs/>
          <w:sz w:val="24"/>
          <w:szCs w:val="24"/>
        </w:rPr>
        <w:t xml:space="preserve"> v </w:t>
      </w:r>
      <w:proofErr w:type="spellStart"/>
      <w:r w:rsidRPr="009D3F3C">
        <w:rPr>
          <w:rFonts w:ascii="Times New Roman" w:eastAsia="Times New Roman" w:hAnsi="Times New Roman" w:cs="Times New Roman"/>
          <w:b/>
          <w:bCs/>
          <w:sz w:val="24"/>
          <w:szCs w:val="24"/>
        </w:rPr>
        <w:t>Kemeny</w:t>
      </w:r>
      <w:proofErr w:type="spellEnd"/>
      <w:r w:rsidRPr="009D3F3C">
        <w:rPr>
          <w:rFonts w:ascii="Times New Roman" w:eastAsia="Times New Roman" w:hAnsi="Times New Roman" w:cs="Times New Roman"/>
          <w:sz w:val="24"/>
          <w:szCs w:val="24"/>
        </w:rPr>
        <w:t xml:space="preserve"> </w:t>
      </w:r>
      <w:hyperlink r:id="rId36" w:tooltip="View LawCiteRecord" w:history="1">
        <w:r w:rsidRPr="009D3F3C">
          <w:rPr>
            <w:rFonts w:ascii="Times New Roman" w:eastAsia="Times New Roman" w:hAnsi="Times New Roman" w:cs="Times New Roman"/>
            <w:color w:val="0000FF"/>
            <w:sz w:val="24"/>
            <w:szCs w:val="24"/>
            <w:u w:val="single"/>
          </w:rPr>
          <w:t>(1977) 1 BPR 9655</w:t>
        </w:r>
      </w:hyperlink>
      <w:r w:rsidRPr="009D3F3C">
        <w:rPr>
          <w:rFonts w:ascii="Times New Roman" w:eastAsia="Times New Roman" w:hAnsi="Times New Roman" w:cs="Times New Roman"/>
          <w:sz w:val="24"/>
          <w:szCs w:val="24"/>
        </w:rPr>
        <w:t xml:space="preserve"> which certainly says just that.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Mr McDougall QC says that this is a case where the plaintiff has asked for relief to be given that the easement is subsisting. It is thus incumbent on it to show by evidence that there are no such persons, it cannot be presumed.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It seems to me that the decision in </w:t>
      </w:r>
      <w:proofErr w:type="spellStart"/>
      <w:r w:rsidRPr="009D3F3C">
        <w:rPr>
          <w:rFonts w:ascii="Times New Roman" w:eastAsia="Times New Roman" w:hAnsi="Times New Roman" w:cs="Times New Roman"/>
          <w:b/>
          <w:bCs/>
          <w:sz w:val="24"/>
          <w:szCs w:val="24"/>
        </w:rPr>
        <w:t>Vaneris</w:t>
      </w:r>
      <w:proofErr w:type="spellEnd"/>
      <w:r w:rsidRPr="009D3F3C">
        <w:rPr>
          <w:rFonts w:ascii="Times New Roman" w:eastAsia="Times New Roman" w:hAnsi="Times New Roman" w:cs="Times New Roman"/>
          <w:sz w:val="24"/>
          <w:szCs w:val="24"/>
        </w:rPr>
        <w:t xml:space="preserve"> has been commonly interpreted as meaning that </w:t>
      </w:r>
      <w:hyperlink r:id="rId37" w:history="1">
        <w:r w:rsidRPr="009D3F3C">
          <w:rPr>
            <w:rFonts w:ascii="Times New Roman" w:eastAsia="Times New Roman" w:hAnsi="Times New Roman" w:cs="Times New Roman"/>
            <w:color w:val="0000FF"/>
            <w:sz w:val="24"/>
            <w:szCs w:val="24"/>
            <w:u w:val="single"/>
          </w:rPr>
          <w:t>s 88(1)(d)</w:t>
        </w:r>
      </w:hyperlink>
      <w:r w:rsidRPr="009D3F3C">
        <w:rPr>
          <w:rFonts w:ascii="Times New Roman" w:eastAsia="Times New Roman" w:hAnsi="Times New Roman" w:cs="Times New Roman"/>
          <w:sz w:val="24"/>
          <w:szCs w:val="24"/>
        </w:rPr>
        <w:t xml:space="preserve"> at least generally has no application to easements, see Woodman &amp; Nettle on </w:t>
      </w:r>
      <w:r w:rsidRPr="009D3F3C">
        <w:rPr>
          <w:rFonts w:ascii="Times New Roman" w:eastAsia="Times New Roman" w:hAnsi="Times New Roman" w:cs="Times New Roman"/>
          <w:b/>
          <w:bCs/>
          <w:sz w:val="24"/>
          <w:szCs w:val="24"/>
        </w:rPr>
        <w:t>The Torrens System in NSW</w:t>
      </w:r>
      <w:r w:rsidRPr="009D3F3C">
        <w:rPr>
          <w:rFonts w:ascii="Times New Roman" w:eastAsia="Times New Roman" w:hAnsi="Times New Roman" w:cs="Times New Roman"/>
          <w:sz w:val="24"/>
          <w:szCs w:val="24"/>
        </w:rPr>
        <w:t xml:space="preserve"> (Butt &amp; Ticehurst </w:t>
      </w:r>
      <w:proofErr w:type="spellStart"/>
      <w:r w:rsidRPr="009D3F3C">
        <w:rPr>
          <w:rFonts w:ascii="Times New Roman" w:eastAsia="Times New Roman" w:hAnsi="Times New Roman" w:cs="Times New Roman"/>
          <w:sz w:val="24"/>
          <w:szCs w:val="24"/>
        </w:rPr>
        <w:t>ed</w:t>
      </w:r>
      <w:proofErr w:type="spellEnd"/>
      <w:r w:rsidRPr="009D3F3C">
        <w:rPr>
          <w:rFonts w:ascii="Times New Roman" w:eastAsia="Times New Roman" w:hAnsi="Times New Roman" w:cs="Times New Roman"/>
          <w:sz w:val="24"/>
          <w:szCs w:val="24"/>
        </w:rPr>
        <w:t xml:space="preserve">) [C88.220]. I believe that I should follow this decision as it is now over 20 years old, even though as the losing counsel in </w:t>
      </w:r>
      <w:proofErr w:type="spellStart"/>
      <w:r w:rsidRPr="009D3F3C">
        <w:rPr>
          <w:rFonts w:ascii="Times New Roman" w:eastAsia="Times New Roman" w:hAnsi="Times New Roman" w:cs="Times New Roman"/>
          <w:b/>
          <w:bCs/>
          <w:sz w:val="24"/>
          <w:szCs w:val="24"/>
        </w:rPr>
        <w:t>Vaneris</w:t>
      </w:r>
      <w:proofErr w:type="spellEnd"/>
      <w:r w:rsidRPr="009D3F3C">
        <w:rPr>
          <w:rFonts w:ascii="Times New Roman" w:eastAsia="Times New Roman" w:hAnsi="Times New Roman" w:cs="Times New Roman"/>
          <w:sz w:val="24"/>
          <w:szCs w:val="24"/>
        </w:rPr>
        <w:t>, I am tempted to be more technical!</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Accordingly, in my considered view, </w:t>
      </w:r>
      <w:hyperlink r:id="rId38" w:history="1">
        <w:r w:rsidRPr="009D3F3C">
          <w:rPr>
            <w:rFonts w:ascii="Times New Roman" w:eastAsia="Times New Roman" w:hAnsi="Times New Roman" w:cs="Times New Roman"/>
            <w:color w:val="0000FF"/>
            <w:sz w:val="24"/>
            <w:szCs w:val="24"/>
            <w:u w:val="single"/>
          </w:rPr>
          <w:t>section 88</w:t>
        </w:r>
      </w:hyperlink>
      <w:r w:rsidRPr="009D3F3C">
        <w:rPr>
          <w:rFonts w:ascii="Times New Roman" w:eastAsia="Times New Roman" w:hAnsi="Times New Roman" w:cs="Times New Roman"/>
          <w:sz w:val="24"/>
          <w:szCs w:val="24"/>
        </w:rPr>
        <w:t xml:space="preserve"> does not affect the result of this case.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2. Is the right of way obsolete within the meaning of s 89(1</w:t>
      </w:r>
      <w:proofErr w:type="gramStart"/>
      <w:r w:rsidRPr="009D3F3C">
        <w:rPr>
          <w:rFonts w:ascii="Times New Roman" w:eastAsia="Times New Roman" w:hAnsi="Times New Roman" w:cs="Times New Roman"/>
          <w:sz w:val="24"/>
          <w:szCs w:val="24"/>
        </w:rPr>
        <w:t>)(</w:t>
      </w:r>
      <w:proofErr w:type="gramEnd"/>
      <w:r w:rsidRPr="009D3F3C">
        <w:rPr>
          <w:rFonts w:ascii="Times New Roman" w:eastAsia="Times New Roman" w:hAnsi="Times New Roman" w:cs="Times New Roman"/>
          <w:sz w:val="24"/>
          <w:szCs w:val="24"/>
        </w:rPr>
        <w:t>a) of the Act?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Before dealing with this question and questions 3-6, I should set out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hyperlink r:id="rId39" w:history="1">
        <w:proofErr w:type="gramStart"/>
        <w:r w:rsidRPr="009D3F3C">
          <w:rPr>
            <w:rFonts w:ascii="Times New Roman" w:eastAsia="Times New Roman" w:hAnsi="Times New Roman" w:cs="Times New Roman"/>
            <w:color w:val="0000FF"/>
            <w:sz w:val="24"/>
            <w:szCs w:val="24"/>
            <w:u w:val="single"/>
          </w:rPr>
          <w:t>s</w:t>
        </w:r>
        <w:proofErr w:type="gramEnd"/>
        <w:r w:rsidRPr="009D3F3C">
          <w:rPr>
            <w:rFonts w:ascii="Times New Roman" w:eastAsia="Times New Roman" w:hAnsi="Times New Roman" w:cs="Times New Roman"/>
            <w:color w:val="0000FF"/>
            <w:sz w:val="24"/>
            <w:szCs w:val="24"/>
            <w:u w:val="single"/>
          </w:rPr>
          <w:t xml:space="preserve"> 89(1)</w:t>
        </w:r>
      </w:hyperlink>
      <w:r w:rsidRPr="009D3F3C">
        <w:rPr>
          <w:rFonts w:ascii="Times New Roman" w:eastAsia="Times New Roman" w:hAnsi="Times New Roman" w:cs="Times New Roman"/>
          <w:sz w:val="24"/>
          <w:szCs w:val="24"/>
        </w:rPr>
        <w:t xml:space="preserve"> of the </w:t>
      </w:r>
      <w:hyperlink r:id="rId40" w:history="1">
        <w:r w:rsidRPr="009D3F3C">
          <w:rPr>
            <w:rFonts w:ascii="Times New Roman" w:eastAsia="Times New Roman" w:hAnsi="Times New Roman" w:cs="Times New Roman"/>
            <w:color w:val="0000FF"/>
            <w:sz w:val="24"/>
            <w:szCs w:val="24"/>
            <w:u w:val="single"/>
          </w:rPr>
          <w:t>Conveyancing Act, 1919</w:t>
        </w:r>
      </w:hyperlink>
      <w:r w:rsidRPr="009D3F3C">
        <w:rPr>
          <w:rFonts w:ascii="Times New Roman" w:eastAsia="Times New Roman" w:hAnsi="Times New Roman" w:cs="Times New Roman"/>
          <w:sz w:val="24"/>
          <w:szCs w:val="24"/>
        </w:rPr>
        <w: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b/>
          <w:bCs/>
          <w:sz w:val="24"/>
          <w:szCs w:val="24"/>
        </w:rPr>
        <w:t>"</w:t>
      </w:r>
      <w:r w:rsidRPr="009D3F3C">
        <w:rPr>
          <w:rFonts w:ascii="Times New Roman" w:eastAsia="Times New Roman" w:hAnsi="Times New Roman" w:cs="Times New Roman"/>
          <w:sz w:val="24"/>
          <w:szCs w:val="24"/>
        </w:rPr>
        <w:t xml:space="preserve">89 (1) Where land is subject to an easement or to a restriction or an obligation arising under covenant or otherwise as to the user thereof, the Court may from time to time, on the application </w:t>
      </w:r>
      <w:r w:rsidRPr="009D3F3C">
        <w:rPr>
          <w:rFonts w:ascii="Times New Roman" w:eastAsia="Times New Roman" w:hAnsi="Times New Roman" w:cs="Times New Roman"/>
          <w:sz w:val="24"/>
          <w:szCs w:val="24"/>
        </w:rPr>
        <w:lastRenderedPageBreak/>
        <w:t>of any person interested in the land, by order modify or wholly or partially extinguish the easement, restriction or obligation upon being satisfied -</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(a) </w:t>
      </w:r>
      <w:proofErr w:type="gramStart"/>
      <w:r w:rsidRPr="009D3F3C">
        <w:rPr>
          <w:rFonts w:ascii="Times New Roman" w:eastAsia="Times New Roman" w:hAnsi="Times New Roman" w:cs="Times New Roman"/>
          <w:sz w:val="24"/>
          <w:szCs w:val="24"/>
        </w:rPr>
        <w:t>that</w:t>
      </w:r>
      <w:proofErr w:type="gramEnd"/>
      <w:r w:rsidRPr="009D3F3C">
        <w:rPr>
          <w:rFonts w:ascii="Times New Roman" w:eastAsia="Times New Roman" w:hAnsi="Times New Roman" w:cs="Times New Roman"/>
          <w:sz w:val="24"/>
          <w:szCs w:val="24"/>
        </w:rPr>
        <w:t xml:space="preserve"> by reason of change in the user of any land having</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the</w:t>
      </w:r>
      <w:proofErr w:type="gramEnd"/>
      <w:r w:rsidRPr="009D3F3C">
        <w:rPr>
          <w:rFonts w:ascii="Times New Roman" w:eastAsia="Times New Roman" w:hAnsi="Times New Roman" w:cs="Times New Roman"/>
          <w:sz w:val="24"/>
          <w:szCs w:val="24"/>
        </w:rPr>
        <w:t xml:space="preserve"> benefit of the easement, restriction or obligation,</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or</w:t>
      </w:r>
      <w:proofErr w:type="gramEnd"/>
      <w:r w:rsidRPr="009D3F3C">
        <w:rPr>
          <w:rFonts w:ascii="Times New Roman" w:eastAsia="Times New Roman" w:hAnsi="Times New Roman" w:cs="Times New Roman"/>
          <w:sz w:val="24"/>
          <w:szCs w:val="24"/>
        </w:rPr>
        <w:t xml:space="preserve"> in the character of the neighbourhood or other</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circumstances</w:t>
      </w:r>
      <w:proofErr w:type="gramEnd"/>
      <w:r w:rsidRPr="009D3F3C">
        <w:rPr>
          <w:rFonts w:ascii="Times New Roman" w:eastAsia="Times New Roman" w:hAnsi="Times New Roman" w:cs="Times New Roman"/>
          <w:sz w:val="24"/>
          <w:szCs w:val="24"/>
        </w:rPr>
        <w:t xml:space="preserve"> of the case which the Court may deem</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material</w:t>
      </w:r>
      <w:proofErr w:type="gramEnd"/>
      <w:r w:rsidRPr="009D3F3C">
        <w:rPr>
          <w:rFonts w:ascii="Times New Roman" w:eastAsia="Times New Roman" w:hAnsi="Times New Roman" w:cs="Times New Roman"/>
          <w:sz w:val="24"/>
          <w:szCs w:val="24"/>
        </w:rPr>
        <w:t>, the easement, restriction or obligation</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ought</w:t>
      </w:r>
      <w:proofErr w:type="gramEnd"/>
      <w:r w:rsidRPr="009D3F3C">
        <w:rPr>
          <w:rFonts w:ascii="Times New Roman" w:eastAsia="Times New Roman" w:hAnsi="Times New Roman" w:cs="Times New Roman"/>
          <w:sz w:val="24"/>
          <w:szCs w:val="24"/>
        </w:rPr>
        <w:t xml:space="preserve"> to be deemed obsolete, or that the continued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existence</w:t>
      </w:r>
      <w:proofErr w:type="gramEnd"/>
      <w:r w:rsidRPr="009D3F3C">
        <w:rPr>
          <w:rFonts w:ascii="Times New Roman" w:eastAsia="Times New Roman" w:hAnsi="Times New Roman" w:cs="Times New Roman"/>
          <w:sz w:val="24"/>
          <w:szCs w:val="24"/>
        </w:rPr>
        <w:t xml:space="preserve"> thereof would impede the reasonable user</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of</w:t>
      </w:r>
      <w:proofErr w:type="gramEnd"/>
      <w:r w:rsidRPr="009D3F3C">
        <w:rPr>
          <w:rFonts w:ascii="Times New Roman" w:eastAsia="Times New Roman" w:hAnsi="Times New Roman" w:cs="Times New Roman"/>
          <w:sz w:val="24"/>
          <w:szCs w:val="24"/>
        </w:rPr>
        <w:t xml:space="preserve"> the land subject to the easement, restriction or</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obligation</w:t>
      </w:r>
      <w:proofErr w:type="gramEnd"/>
      <w:r w:rsidRPr="009D3F3C">
        <w:rPr>
          <w:rFonts w:ascii="Times New Roman" w:eastAsia="Times New Roman" w:hAnsi="Times New Roman" w:cs="Times New Roman"/>
          <w:sz w:val="24"/>
          <w:szCs w:val="24"/>
        </w:rPr>
        <w:t xml:space="preserve"> without securing practical benefit to the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persons</w:t>
      </w:r>
      <w:proofErr w:type="gramEnd"/>
      <w:r w:rsidRPr="009D3F3C">
        <w:rPr>
          <w:rFonts w:ascii="Times New Roman" w:eastAsia="Times New Roman" w:hAnsi="Times New Roman" w:cs="Times New Roman"/>
          <w:sz w:val="24"/>
          <w:szCs w:val="24"/>
        </w:rPr>
        <w:t xml:space="preserve"> entitled to the easement, or to the benefit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of</w:t>
      </w:r>
      <w:proofErr w:type="gramEnd"/>
      <w:r w:rsidRPr="009D3F3C">
        <w:rPr>
          <w:rFonts w:ascii="Times New Roman" w:eastAsia="Times New Roman" w:hAnsi="Times New Roman" w:cs="Times New Roman"/>
          <w:sz w:val="24"/>
          <w:szCs w:val="24"/>
        </w:rPr>
        <w:t xml:space="preserve"> the restriction or obligation, or would, unless</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modified</w:t>
      </w:r>
      <w:proofErr w:type="gramEnd"/>
      <w:r w:rsidRPr="009D3F3C">
        <w:rPr>
          <w:rFonts w:ascii="Times New Roman" w:eastAsia="Times New Roman" w:hAnsi="Times New Roman" w:cs="Times New Roman"/>
          <w:sz w:val="24"/>
          <w:szCs w:val="24"/>
        </w:rPr>
        <w:t>, so impede such user; or</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(b) </w:t>
      </w:r>
      <w:proofErr w:type="gramStart"/>
      <w:r w:rsidRPr="009D3F3C">
        <w:rPr>
          <w:rFonts w:ascii="Times New Roman" w:eastAsia="Times New Roman" w:hAnsi="Times New Roman" w:cs="Times New Roman"/>
          <w:sz w:val="24"/>
          <w:szCs w:val="24"/>
        </w:rPr>
        <w:t>that</w:t>
      </w:r>
      <w:proofErr w:type="gramEnd"/>
      <w:r w:rsidRPr="009D3F3C">
        <w:rPr>
          <w:rFonts w:ascii="Times New Roman" w:eastAsia="Times New Roman" w:hAnsi="Times New Roman" w:cs="Times New Roman"/>
          <w:sz w:val="24"/>
          <w:szCs w:val="24"/>
        </w:rPr>
        <w:t xml:space="preserve"> the persons of the age of eighteen years or</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upwards</w:t>
      </w:r>
      <w:proofErr w:type="gramEnd"/>
      <w:r w:rsidRPr="009D3F3C">
        <w:rPr>
          <w:rFonts w:ascii="Times New Roman" w:eastAsia="Times New Roman" w:hAnsi="Times New Roman" w:cs="Times New Roman"/>
          <w:sz w:val="24"/>
          <w:szCs w:val="24"/>
        </w:rPr>
        <w:t xml:space="preserve"> and of full capacity for the time being or from</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time</w:t>
      </w:r>
      <w:proofErr w:type="gramEnd"/>
      <w:r w:rsidRPr="009D3F3C">
        <w:rPr>
          <w:rFonts w:ascii="Times New Roman" w:eastAsia="Times New Roman" w:hAnsi="Times New Roman" w:cs="Times New Roman"/>
          <w:sz w:val="24"/>
          <w:szCs w:val="24"/>
        </w:rPr>
        <w:t xml:space="preserve"> to time entitled to the easement, or to the benefit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of</w:t>
      </w:r>
      <w:proofErr w:type="gramEnd"/>
      <w:r w:rsidRPr="009D3F3C">
        <w:rPr>
          <w:rFonts w:ascii="Times New Roman" w:eastAsia="Times New Roman" w:hAnsi="Times New Roman" w:cs="Times New Roman"/>
          <w:sz w:val="24"/>
          <w:szCs w:val="24"/>
        </w:rPr>
        <w:t xml:space="preserve"> the restriction, whether in respect of estates in fee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simple</w:t>
      </w:r>
      <w:proofErr w:type="gramEnd"/>
      <w:r w:rsidRPr="009D3F3C">
        <w:rPr>
          <w:rFonts w:ascii="Times New Roman" w:eastAsia="Times New Roman" w:hAnsi="Times New Roman" w:cs="Times New Roman"/>
          <w:sz w:val="24"/>
          <w:szCs w:val="24"/>
        </w:rPr>
        <w:t xml:space="preserve"> or any lesser estates or interests in the land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to</w:t>
      </w:r>
      <w:proofErr w:type="gramEnd"/>
      <w:r w:rsidRPr="009D3F3C">
        <w:rPr>
          <w:rFonts w:ascii="Times New Roman" w:eastAsia="Times New Roman" w:hAnsi="Times New Roman" w:cs="Times New Roman"/>
          <w:sz w:val="24"/>
          <w:szCs w:val="24"/>
        </w:rPr>
        <w:t xml:space="preserve"> which the easement or the benefit of the restriction</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is</w:t>
      </w:r>
      <w:proofErr w:type="gramEnd"/>
      <w:r w:rsidRPr="009D3F3C">
        <w:rPr>
          <w:rFonts w:ascii="Times New Roman" w:eastAsia="Times New Roman" w:hAnsi="Times New Roman" w:cs="Times New Roman"/>
          <w:sz w:val="24"/>
          <w:szCs w:val="24"/>
        </w:rPr>
        <w:t xml:space="preserve"> annexed, have agreed to the easement, restriction</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or</w:t>
      </w:r>
      <w:proofErr w:type="gramEnd"/>
      <w:r w:rsidRPr="009D3F3C">
        <w:rPr>
          <w:rFonts w:ascii="Times New Roman" w:eastAsia="Times New Roman" w:hAnsi="Times New Roman" w:cs="Times New Roman"/>
          <w:sz w:val="24"/>
          <w:szCs w:val="24"/>
        </w:rPr>
        <w:t xml:space="preserve"> obligation being modified or wholly or partially</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extinguished</w:t>
      </w:r>
      <w:proofErr w:type="gramEnd"/>
      <w:r w:rsidRPr="009D3F3C">
        <w:rPr>
          <w:rFonts w:ascii="Times New Roman" w:eastAsia="Times New Roman" w:hAnsi="Times New Roman" w:cs="Times New Roman"/>
          <w:sz w:val="24"/>
          <w:szCs w:val="24"/>
        </w:rPr>
        <w:t>, or by their acts or omissions may</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reasonably</w:t>
      </w:r>
      <w:proofErr w:type="gramEnd"/>
      <w:r w:rsidRPr="009D3F3C">
        <w:rPr>
          <w:rFonts w:ascii="Times New Roman" w:eastAsia="Times New Roman" w:hAnsi="Times New Roman" w:cs="Times New Roman"/>
          <w:sz w:val="24"/>
          <w:szCs w:val="24"/>
        </w:rPr>
        <w:t xml:space="preserve"> be considered to have abandoned the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lastRenderedPageBreak/>
        <w:t>easement</w:t>
      </w:r>
      <w:proofErr w:type="gramEnd"/>
      <w:r w:rsidRPr="009D3F3C">
        <w:rPr>
          <w:rFonts w:ascii="Times New Roman" w:eastAsia="Times New Roman" w:hAnsi="Times New Roman" w:cs="Times New Roman"/>
          <w:sz w:val="24"/>
          <w:szCs w:val="24"/>
        </w:rPr>
        <w:t xml:space="preserve"> wholly or in part or waived the benefit of</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the</w:t>
      </w:r>
      <w:proofErr w:type="gramEnd"/>
      <w:r w:rsidRPr="009D3F3C">
        <w:rPr>
          <w:rFonts w:ascii="Times New Roman" w:eastAsia="Times New Roman" w:hAnsi="Times New Roman" w:cs="Times New Roman"/>
          <w:sz w:val="24"/>
          <w:szCs w:val="24"/>
        </w:rPr>
        <w:t xml:space="preserve"> restriction wholly or in part;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(b1</w:t>
      </w:r>
      <w:proofErr w:type="gramStart"/>
      <w:r w:rsidRPr="009D3F3C">
        <w:rPr>
          <w:rFonts w:ascii="Times New Roman" w:eastAsia="Times New Roman" w:hAnsi="Times New Roman" w:cs="Times New Roman"/>
          <w:sz w:val="24"/>
          <w:szCs w:val="24"/>
        </w:rPr>
        <w:t>) ...</w:t>
      </w:r>
      <w:proofErr w:type="gramEnd"/>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(c) </w:t>
      </w:r>
      <w:proofErr w:type="gramStart"/>
      <w:r w:rsidRPr="009D3F3C">
        <w:rPr>
          <w:rFonts w:ascii="Times New Roman" w:eastAsia="Times New Roman" w:hAnsi="Times New Roman" w:cs="Times New Roman"/>
          <w:sz w:val="24"/>
          <w:szCs w:val="24"/>
        </w:rPr>
        <w:t>that</w:t>
      </w:r>
      <w:proofErr w:type="gramEnd"/>
      <w:r w:rsidRPr="009D3F3C">
        <w:rPr>
          <w:rFonts w:ascii="Times New Roman" w:eastAsia="Times New Roman" w:hAnsi="Times New Roman" w:cs="Times New Roman"/>
          <w:sz w:val="24"/>
          <w:szCs w:val="24"/>
        </w:rPr>
        <w:t xml:space="preserve"> the proposed modification or extinguishment will</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not</w:t>
      </w:r>
      <w:proofErr w:type="gramEnd"/>
      <w:r w:rsidRPr="009D3F3C">
        <w:rPr>
          <w:rFonts w:ascii="Times New Roman" w:eastAsia="Times New Roman" w:hAnsi="Times New Roman" w:cs="Times New Roman"/>
          <w:sz w:val="24"/>
          <w:szCs w:val="24"/>
        </w:rPr>
        <w:t xml:space="preserve"> substantially injure the persons entitled to the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easement</w:t>
      </w:r>
      <w:proofErr w:type="gramEnd"/>
      <w:r w:rsidRPr="009D3F3C">
        <w:rPr>
          <w:rFonts w:ascii="Times New Roman" w:eastAsia="Times New Roman" w:hAnsi="Times New Roman" w:cs="Times New Roman"/>
          <w:sz w:val="24"/>
          <w:szCs w:val="24"/>
        </w:rPr>
        <w:t>, or to the benefit of the restriction or</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proofErr w:type="gramStart"/>
      <w:r w:rsidRPr="009D3F3C">
        <w:rPr>
          <w:rFonts w:ascii="Times New Roman" w:eastAsia="Times New Roman" w:hAnsi="Times New Roman" w:cs="Times New Roman"/>
          <w:sz w:val="24"/>
          <w:szCs w:val="24"/>
        </w:rPr>
        <w:t>obligation</w:t>
      </w:r>
      <w:proofErr w:type="gramEnd"/>
      <w:r w:rsidRPr="009D3F3C">
        <w:rPr>
          <w:rFonts w:ascii="Times New Roman" w:eastAsia="Times New Roman" w:hAnsi="Times New Roman" w:cs="Times New Roman"/>
          <w:sz w:val="24"/>
          <w:szCs w:val="24"/>
        </w:rPr>
        <w: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It can be seen that paragraph (a) contains two limbs. I will deal with the first limb that the easement ought to be deemed "obsolete" under this head and the second limb under head 3.</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The word "obsolete" as used in this section or corresponding sections in the legislation of other places has been defined sufficiently often not to require me to do more than refer to the principal cases.</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In </w:t>
      </w:r>
      <w:r w:rsidRPr="009D3F3C">
        <w:rPr>
          <w:rFonts w:ascii="Times New Roman" w:eastAsia="Times New Roman" w:hAnsi="Times New Roman" w:cs="Times New Roman"/>
          <w:b/>
          <w:bCs/>
          <w:sz w:val="24"/>
          <w:szCs w:val="24"/>
        </w:rPr>
        <w:t xml:space="preserve">Re Truman, </w:t>
      </w:r>
      <w:proofErr w:type="spellStart"/>
      <w:r w:rsidRPr="009D3F3C">
        <w:rPr>
          <w:rFonts w:ascii="Times New Roman" w:eastAsia="Times New Roman" w:hAnsi="Times New Roman" w:cs="Times New Roman"/>
          <w:b/>
          <w:bCs/>
          <w:sz w:val="24"/>
          <w:szCs w:val="24"/>
        </w:rPr>
        <w:t>Hanbury</w:t>
      </w:r>
      <w:proofErr w:type="spellEnd"/>
      <w:r w:rsidRPr="009D3F3C">
        <w:rPr>
          <w:rFonts w:ascii="Times New Roman" w:eastAsia="Times New Roman" w:hAnsi="Times New Roman" w:cs="Times New Roman"/>
          <w:b/>
          <w:bCs/>
          <w:sz w:val="24"/>
          <w:szCs w:val="24"/>
        </w:rPr>
        <w:t xml:space="preserve"> Buxton &amp; Co </w:t>
      </w:r>
      <w:proofErr w:type="spellStart"/>
      <w:r w:rsidRPr="009D3F3C">
        <w:rPr>
          <w:rFonts w:ascii="Times New Roman" w:eastAsia="Times New Roman" w:hAnsi="Times New Roman" w:cs="Times New Roman"/>
          <w:b/>
          <w:bCs/>
          <w:sz w:val="24"/>
          <w:szCs w:val="24"/>
        </w:rPr>
        <w:t>Ltd's</w:t>
      </w:r>
      <w:proofErr w:type="spellEnd"/>
      <w:r w:rsidRPr="009D3F3C">
        <w:rPr>
          <w:rFonts w:ascii="Times New Roman" w:eastAsia="Times New Roman" w:hAnsi="Times New Roman" w:cs="Times New Roman"/>
          <w:b/>
          <w:bCs/>
          <w:sz w:val="24"/>
          <w:szCs w:val="24"/>
        </w:rPr>
        <w:t xml:space="preserve"> Application</w:t>
      </w:r>
      <w:r w:rsidRPr="009D3F3C">
        <w:rPr>
          <w:rFonts w:ascii="Times New Roman" w:eastAsia="Times New Roman" w:hAnsi="Times New Roman" w:cs="Times New Roman"/>
          <w:sz w:val="24"/>
          <w:szCs w:val="24"/>
        </w:rPr>
        <w:t xml:space="preserve"> </w:t>
      </w:r>
      <w:hyperlink r:id="rId41" w:tooltip="View LawCiteRecord" w:history="1">
        <w:r w:rsidRPr="009D3F3C">
          <w:rPr>
            <w:rFonts w:ascii="Times New Roman" w:eastAsia="Times New Roman" w:hAnsi="Times New Roman" w:cs="Times New Roman"/>
            <w:color w:val="0000FF"/>
            <w:sz w:val="24"/>
            <w:szCs w:val="24"/>
            <w:u w:val="single"/>
          </w:rPr>
          <w:t>[1956] 1 QB 261</w:t>
        </w:r>
      </w:hyperlink>
      <w:r w:rsidRPr="009D3F3C">
        <w:rPr>
          <w:rFonts w:ascii="Times New Roman" w:eastAsia="Times New Roman" w:hAnsi="Times New Roman" w:cs="Times New Roman"/>
          <w:sz w:val="24"/>
          <w:szCs w:val="24"/>
        </w:rPr>
        <w:t xml:space="preserve">, 272, C </w:t>
      </w:r>
      <w:proofErr w:type="spellStart"/>
      <w:r w:rsidRPr="009D3F3C">
        <w:rPr>
          <w:rFonts w:ascii="Times New Roman" w:eastAsia="Times New Roman" w:hAnsi="Times New Roman" w:cs="Times New Roman"/>
          <w:sz w:val="24"/>
          <w:szCs w:val="24"/>
        </w:rPr>
        <w:t>Romer</w:t>
      </w:r>
      <w:proofErr w:type="spellEnd"/>
      <w:r w:rsidRPr="009D3F3C">
        <w:rPr>
          <w:rFonts w:ascii="Times New Roman" w:eastAsia="Times New Roman" w:hAnsi="Times New Roman" w:cs="Times New Roman"/>
          <w:sz w:val="24"/>
          <w:szCs w:val="24"/>
        </w:rPr>
        <w:t xml:space="preserve"> LJ said in respect of a restrictive covenant, that "obsolete" was used in the section in the sense that the original purpose of the covenant can no longer be served. This approach has been adopted in subsequent cases; see eg </w:t>
      </w:r>
      <w:r w:rsidRPr="009D3F3C">
        <w:rPr>
          <w:rFonts w:ascii="Times New Roman" w:eastAsia="Times New Roman" w:hAnsi="Times New Roman" w:cs="Times New Roman"/>
          <w:b/>
          <w:bCs/>
          <w:sz w:val="24"/>
          <w:szCs w:val="24"/>
        </w:rPr>
        <w:t xml:space="preserve">Re </w:t>
      </w:r>
      <w:proofErr w:type="spellStart"/>
      <w:r w:rsidRPr="009D3F3C">
        <w:rPr>
          <w:rFonts w:ascii="Times New Roman" w:eastAsia="Times New Roman" w:hAnsi="Times New Roman" w:cs="Times New Roman"/>
          <w:b/>
          <w:bCs/>
          <w:sz w:val="24"/>
          <w:szCs w:val="24"/>
        </w:rPr>
        <w:t>Miscamble's</w:t>
      </w:r>
      <w:proofErr w:type="spellEnd"/>
      <w:r w:rsidRPr="009D3F3C">
        <w:rPr>
          <w:rFonts w:ascii="Times New Roman" w:eastAsia="Times New Roman" w:hAnsi="Times New Roman" w:cs="Times New Roman"/>
          <w:b/>
          <w:bCs/>
          <w:sz w:val="24"/>
          <w:szCs w:val="24"/>
        </w:rPr>
        <w:t xml:space="preserve"> Application </w:t>
      </w:r>
      <w:hyperlink r:id="rId42" w:tooltip="View LawCiteRecord" w:history="1">
        <w:r w:rsidRPr="009D3F3C">
          <w:rPr>
            <w:rFonts w:ascii="Times New Roman" w:eastAsia="Times New Roman" w:hAnsi="Times New Roman" w:cs="Times New Roman"/>
            <w:color w:val="0000FF"/>
            <w:sz w:val="24"/>
            <w:szCs w:val="24"/>
            <w:u w:val="single"/>
          </w:rPr>
          <w:t>[1966] VR 596</w:t>
        </w:r>
      </w:hyperlink>
      <w:r w:rsidRPr="009D3F3C">
        <w:rPr>
          <w:rFonts w:ascii="Times New Roman" w:eastAsia="Times New Roman" w:hAnsi="Times New Roman" w:cs="Times New Roman"/>
          <w:sz w:val="24"/>
          <w:szCs w:val="24"/>
        </w:rPr>
        <w:t>, 601 and</w:t>
      </w:r>
      <w:r w:rsidRPr="009D3F3C">
        <w:rPr>
          <w:rFonts w:ascii="Times New Roman" w:eastAsia="Times New Roman" w:hAnsi="Times New Roman" w:cs="Times New Roman"/>
          <w:b/>
          <w:bCs/>
          <w:sz w:val="24"/>
          <w:szCs w:val="24"/>
        </w:rPr>
        <w:t xml:space="preserve"> Re Robinson </w:t>
      </w:r>
      <w:hyperlink r:id="rId43" w:tooltip="View LawCiteRecord" w:history="1">
        <w:r w:rsidRPr="009D3F3C">
          <w:rPr>
            <w:rFonts w:ascii="Times New Roman" w:eastAsia="Times New Roman" w:hAnsi="Times New Roman" w:cs="Times New Roman"/>
            <w:color w:val="0000FF"/>
            <w:sz w:val="24"/>
            <w:szCs w:val="24"/>
            <w:u w:val="single"/>
          </w:rPr>
          <w:t>[1972] VR 278</w:t>
        </w:r>
      </w:hyperlink>
      <w:r w:rsidRPr="009D3F3C">
        <w:rPr>
          <w:rFonts w:ascii="Times New Roman" w:eastAsia="Times New Roman" w:hAnsi="Times New Roman" w:cs="Times New Roman"/>
          <w:sz w:val="24"/>
          <w:szCs w:val="24"/>
        </w:rPr>
        <w:t>, 281.</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In </w:t>
      </w:r>
      <w:r w:rsidRPr="009D3F3C">
        <w:rPr>
          <w:rFonts w:ascii="Times New Roman" w:eastAsia="Times New Roman" w:hAnsi="Times New Roman" w:cs="Times New Roman"/>
          <w:b/>
          <w:bCs/>
          <w:sz w:val="24"/>
          <w:szCs w:val="24"/>
        </w:rPr>
        <w:t xml:space="preserve">C </w:t>
      </w:r>
      <w:proofErr w:type="spellStart"/>
      <w:r w:rsidRPr="009D3F3C">
        <w:rPr>
          <w:rFonts w:ascii="Times New Roman" w:eastAsia="Times New Roman" w:hAnsi="Times New Roman" w:cs="Times New Roman"/>
          <w:b/>
          <w:bCs/>
          <w:sz w:val="24"/>
          <w:szCs w:val="24"/>
        </w:rPr>
        <w:t>Hunton</w:t>
      </w:r>
      <w:proofErr w:type="spellEnd"/>
      <w:r w:rsidRPr="009D3F3C">
        <w:rPr>
          <w:rFonts w:ascii="Times New Roman" w:eastAsia="Times New Roman" w:hAnsi="Times New Roman" w:cs="Times New Roman"/>
          <w:b/>
          <w:bCs/>
          <w:sz w:val="24"/>
          <w:szCs w:val="24"/>
        </w:rPr>
        <w:t xml:space="preserve"> Ltd v Swire</w:t>
      </w:r>
      <w:r w:rsidRPr="009D3F3C">
        <w:rPr>
          <w:rFonts w:ascii="Times New Roman" w:eastAsia="Times New Roman" w:hAnsi="Times New Roman" w:cs="Times New Roman"/>
          <w:sz w:val="24"/>
          <w:szCs w:val="24"/>
        </w:rPr>
        <w:t xml:space="preserve"> </w:t>
      </w:r>
      <w:hyperlink r:id="rId44" w:tooltip="View LawCiteRecord" w:history="1">
        <w:r w:rsidRPr="009D3F3C">
          <w:rPr>
            <w:rFonts w:ascii="Times New Roman" w:eastAsia="Times New Roman" w:hAnsi="Times New Roman" w:cs="Times New Roman"/>
            <w:color w:val="0000FF"/>
            <w:sz w:val="24"/>
            <w:szCs w:val="24"/>
            <w:u w:val="single"/>
          </w:rPr>
          <w:t>[1969] NZLR 232</w:t>
        </w:r>
      </w:hyperlink>
      <w:r w:rsidRPr="009D3F3C">
        <w:rPr>
          <w:rFonts w:ascii="Times New Roman" w:eastAsia="Times New Roman" w:hAnsi="Times New Roman" w:cs="Times New Roman"/>
          <w:sz w:val="24"/>
          <w:szCs w:val="24"/>
        </w:rPr>
        <w:t>, 234, Wilson J said that "obsolete" means "no longer relevant to the circumstances presently obtaining".</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In </w:t>
      </w:r>
      <w:r w:rsidRPr="009D3F3C">
        <w:rPr>
          <w:rFonts w:ascii="Times New Roman" w:eastAsia="Times New Roman" w:hAnsi="Times New Roman" w:cs="Times New Roman"/>
          <w:b/>
          <w:bCs/>
          <w:sz w:val="24"/>
          <w:szCs w:val="24"/>
        </w:rPr>
        <w:t xml:space="preserve">Re Mason </w:t>
      </w:r>
      <w:hyperlink r:id="rId45" w:tooltip="View LawCiteRecord" w:history="1">
        <w:r w:rsidRPr="009D3F3C">
          <w:rPr>
            <w:rFonts w:ascii="Times New Roman" w:eastAsia="Times New Roman" w:hAnsi="Times New Roman" w:cs="Times New Roman"/>
            <w:color w:val="0000FF"/>
            <w:sz w:val="24"/>
            <w:szCs w:val="24"/>
            <w:u w:val="single"/>
          </w:rPr>
          <w:t>(1960) 78 WN (NSW) 925</w:t>
        </w:r>
      </w:hyperlink>
      <w:r w:rsidRPr="009D3F3C">
        <w:rPr>
          <w:rFonts w:ascii="Times New Roman" w:eastAsia="Times New Roman" w:hAnsi="Times New Roman" w:cs="Times New Roman"/>
          <w:sz w:val="24"/>
          <w:szCs w:val="24"/>
        </w:rPr>
        <w:t xml:space="preserve">, 927; </w:t>
      </w:r>
      <w:hyperlink r:id="rId46" w:tooltip="View LawCiteRecord" w:history="1">
        <w:r w:rsidRPr="009D3F3C">
          <w:rPr>
            <w:rFonts w:ascii="Times New Roman" w:eastAsia="Times New Roman" w:hAnsi="Times New Roman" w:cs="Times New Roman"/>
            <w:color w:val="0000FF"/>
            <w:sz w:val="24"/>
            <w:szCs w:val="24"/>
            <w:u w:val="single"/>
          </w:rPr>
          <w:t>[1962] NSWR 762</w:t>
        </w:r>
      </w:hyperlink>
      <w:r w:rsidRPr="009D3F3C">
        <w:rPr>
          <w:rFonts w:ascii="Times New Roman" w:eastAsia="Times New Roman" w:hAnsi="Times New Roman" w:cs="Times New Roman"/>
          <w:sz w:val="24"/>
          <w:szCs w:val="24"/>
        </w:rPr>
        <w:t>, 764, Jacobs J said in this court, "I consider that the word `obsolete' can be taken to mean that the object of the covenant is now incapable of fulfillment or perhaps that it serves no present useful purpose."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As Jacobs, J said in </w:t>
      </w:r>
      <w:r w:rsidRPr="009D3F3C">
        <w:rPr>
          <w:rFonts w:ascii="Times New Roman" w:eastAsia="Times New Roman" w:hAnsi="Times New Roman" w:cs="Times New Roman"/>
          <w:b/>
          <w:bCs/>
          <w:sz w:val="24"/>
          <w:szCs w:val="24"/>
        </w:rPr>
        <w:t>Re Mason</w:t>
      </w:r>
      <w:r w:rsidRPr="009D3F3C">
        <w:rPr>
          <w:rFonts w:ascii="Times New Roman" w:eastAsia="Times New Roman" w:hAnsi="Times New Roman" w:cs="Times New Roman"/>
          <w:sz w:val="24"/>
          <w:szCs w:val="24"/>
        </w:rPr>
        <w:t xml:space="preserve"> immediately after the passage I have quoted, that means that one must look to see the object of the easement. However, when doing this, one takes into account not only the use contemplated at the time of grant, but also permitted uses which were not necessarily so contemplated; see </w:t>
      </w:r>
      <w:proofErr w:type="spellStart"/>
      <w:r w:rsidRPr="009D3F3C">
        <w:rPr>
          <w:rFonts w:ascii="Times New Roman" w:eastAsia="Times New Roman" w:hAnsi="Times New Roman" w:cs="Times New Roman"/>
          <w:b/>
          <w:bCs/>
          <w:sz w:val="24"/>
          <w:szCs w:val="24"/>
        </w:rPr>
        <w:t>Armishaw</w:t>
      </w:r>
      <w:proofErr w:type="spellEnd"/>
      <w:r w:rsidRPr="009D3F3C">
        <w:rPr>
          <w:rFonts w:ascii="Times New Roman" w:eastAsia="Times New Roman" w:hAnsi="Times New Roman" w:cs="Times New Roman"/>
          <w:b/>
          <w:bCs/>
          <w:sz w:val="24"/>
          <w:szCs w:val="24"/>
        </w:rPr>
        <w:t xml:space="preserve"> v </w:t>
      </w:r>
      <w:proofErr w:type="spellStart"/>
      <w:r w:rsidRPr="009D3F3C">
        <w:rPr>
          <w:rFonts w:ascii="Times New Roman" w:eastAsia="Times New Roman" w:hAnsi="Times New Roman" w:cs="Times New Roman"/>
          <w:b/>
          <w:bCs/>
          <w:sz w:val="24"/>
          <w:szCs w:val="24"/>
        </w:rPr>
        <w:t>Denby</w:t>
      </w:r>
      <w:proofErr w:type="spellEnd"/>
      <w:r w:rsidRPr="009D3F3C">
        <w:rPr>
          <w:rFonts w:ascii="Times New Roman" w:eastAsia="Times New Roman" w:hAnsi="Times New Roman" w:cs="Times New Roman"/>
          <w:b/>
          <w:bCs/>
          <w:sz w:val="24"/>
          <w:szCs w:val="24"/>
        </w:rPr>
        <w:t xml:space="preserve"> Horton (NZ) Ltd </w:t>
      </w:r>
      <w:hyperlink r:id="rId47" w:tooltip="View LawCiteRecord" w:history="1">
        <w:r w:rsidRPr="009D3F3C">
          <w:rPr>
            <w:rFonts w:ascii="Times New Roman" w:eastAsia="Times New Roman" w:hAnsi="Times New Roman" w:cs="Times New Roman"/>
            <w:color w:val="0000FF"/>
            <w:sz w:val="24"/>
            <w:szCs w:val="24"/>
            <w:u w:val="single"/>
          </w:rPr>
          <w:t>[1984] 1 NZLR 44</w:t>
        </w:r>
      </w:hyperlink>
      <w:r w:rsidRPr="009D3F3C">
        <w:rPr>
          <w:rFonts w:ascii="Times New Roman" w:eastAsia="Times New Roman" w:hAnsi="Times New Roman" w:cs="Times New Roman"/>
          <w:sz w:val="24"/>
          <w:szCs w:val="24"/>
        </w:rPr>
        <w:t xml:space="preserve">, 47, where </w:t>
      </w:r>
      <w:proofErr w:type="spellStart"/>
      <w:r w:rsidRPr="009D3F3C">
        <w:rPr>
          <w:rFonts w:ascii="Times New Roman" w:eastAsia="Times New Roman" w:hAnsi="Times New Roman" w:cs="Times New Roman"/>
          <w:sz w:val="24"/>
          <w:szCs w:val="24"/>
        </w:rPr>
        <w:t>Eichelbaum</w:t>
      </w:r>
      <w:proofErr w:type="spellEnd"/>
      <w:r w:rsidRPr="009D3F3C">
        <w:rPr>
          <w:rFonts w:ascii="Times New Roman" w:eastAsia="Times New Roman" w:hAnsi="Times New Roman" w:cs="Times New Roman"/>
          <w:sz w:val="24"/>
          <w:szCs w:val="24"/>
        </w:rPr>
        <w:t xml:space="preserve"> J considered that this proposition was correct in principle, but did not have to decide it. However, it follows from what Jacobs J said in </w:t>
      </w:r>
      <w:r w:rsidRPr="009D3F3C">
        <w:rPr>
          <w:rFonts w:ascii="Times New Roman" w:eastAsia="Times New Roman" w:hAnsi="Times New Roman" w:cs="Times New Roman"/>
          <w:b/>
          <w:bCs/>
          <w:sz w:val="24"/>
          <w:szCs w:val="24"/>
        </w:rPr>
        <w:t>Re Mason</w:t>
      </w:r>
      <w:r w:rsidRPr="009D3F3C">
        <w:rPr>
          <w:rFonts w:ascii="Times New Roman" w:eastAsia="Times New Roman" w:hAnsi="Times New Roman" w:cs="Times New Roman"/>
          <w:sz w:val="24"/>
          <w:szCs w:val="24"/>
        </w:rPr>
        <w:t xml:space="preserve"> that the easement or covenant is not to be narrowly construed which, in turn, flows from the principle that the grant is construed most strongly against the grantor: </w:t>
      </w:r>
      <w:proofErr w:type="gramStart"/>
      <w:r w:rsidRPr="009D3F3C">
        <w:rPr>
          <w:rFonts w:ascii="Times New Roman" w:eastAsia="Times New Roman" w:hAnsi="Times New Roman" w:cs="Times New Roman"/>
          <w:b/>
          <w:bCs/>
          <w:sz w:val="24"/>
          <w:szCs w:val="24"/>
        </w:rPr>
        <w:t>Williams</w:t>
      </w:r>
      <w:proofErr w:type="gramEnd"/>
      <w:r w:rsidRPr="009D3F3C">
        <w:rPr>
          <w:rFonts w:ascii="Times New Roman" w:eastAsia="Times New Roman" w:hAnsi="Times New Roman" w:cs="Times New Roman"/>
          <w:b/>
          <w:bCs/>
          <w:sz w:val="24"/>
          <w:szCs w:val="24"/>
        </w:rPr>
        <w:t xml:space="preserve"> v James </w:t>
      </w:r>
      <w:hyperlink r:id="rId48" w:tooltip="View LawCiteRecord" w:history="1">
        <w:r w:rsidRPr="009D3F3C">
          <w:rPr>
            <w:rFonts w:ascii="Times New Roman" w:eastAsia="Times New Roman" w:hAnsi="Times New Roman" w:cs="Times New Roman"/>
            <w:color w:val="0000FF"/>
            <w:sz w:val="24"/>
            <w:szCs w:val="24"/>
            <w:u w:val="single"/>
          </w:rPr>
          <w:t>(1867) LR 2 CP 577</w:t>
        </w:r>
      </w:hyperlink>
      <w:r w:rsidRPr="009D3F3C">
        <w:rPr>
          <w:rFonts w:ascii="Times New Roman" w:eastAsia="Times New Roman" w:hAnsi="Times New Roman" w:cs="Times New Roman"/>
          <w:sz w:val="24"/>
          <w:szCs w:val="24"/>
        </w:rPr>
        <w:t xml:space="preserve">, 581. Again, one must always remember that easements are granted for the long term and modern authorities tend "towards a more liberal construction of grants which, by their nature as a species are immutable in content but create rights of indefinite duration and are destined to </w:t>
      </w:r>
      <w:proofErr w:type="spellStart"/>
      <w:r w:rsidRPr="009D3F3C">
        <w:rPr>
          <w:rFonts w:ascii="Times New Roman" w:eastAsia="Times New Roman" w:hAnsi="Times New Roman" w:cs="Times New Roman"/>
          <w:sz w:val="24"/>
          <w:szCs w:val="24"/>
        </w:rPr>
        <w:t>enure</w:t>
      </w:r>
      <w:proofErr w:type="spellEnd"/>
      <w:r w:rsidRPr="009D3F3C">
        <w:rPr>
          <w:rFonts w:ascii="Times New Roman" w:eastAsia="Times New Roman" w:hAnsi="Times New Roman" w:cs="Times New Roman"/>
          <w:sz w:val="24"/>
          <w:szCs w:val="24"/>
        </w:rPr>
        <w:t xml:space="preserve"> in a changing environment": </w:t>
      </w:r>
      <w:proofErr w:type="spellStart"/>
      <w:r w:rsidRPr="009D3F3C">
        <w:rPr>
          <w:rFonts w:ascii="Times New Roman" w:eastAsia="Times New Roman" w:hAnsi="Times New Roman" w:cs="Times New Roman"/>
          <w:b/>
          <w:bCs/>
          <w:sz w:val="24"/>
          <w:szCs w:val="24"/>
        </w:rPr>
        <w:t>Grinskis</w:t>
      </w:r>
      <w:proofErr w:type="spellEnd"/>
      <w:r w:rsidRPr="009D3F3C">
        <w:rPr>
          <w:rFonts w:ascii="Times New Roman" w:eastAsia="Times New Roman" w:hAnsi="Times New Roman" w:cs="Times New Roman"/>
          <w:b/>
          <w:bCs/>
          <w:sz w:val="24"/>
          <w:szCs w:val="24"/>
        </w:rPr>
        <w:t xml:space="preserve"> v </w:t>
      </w:r>
      <w:proofErr w:type="spellStart"/>
      <w:r w:rsidRPr="009D3F3C">
        <w:rPr>
          <w:rFonts w:ascii="Times New Roman" w:eastAsia="Times New Roman" w:hAnsi="Times New Roman" w:cs="Times New Roman"/>
          <w:b/>
          <w:bCs/>
          <w:sz w:val="24"/>
          <w:szCs w:val="24"/>
        </w:rPr>
        <w:t>Lahood</w:t>
      </w:r>
      <w:proofErr w:type="spellEnd"/>
      <w:r w:rsidRPr="009D3F3C">
        <w:rPr>
          <w:rFonts w:ascii="Times New Roman" w:eastAsia="Times New Roman" w:hAnsi="Times New Roman" w:cs="Times New Roman"/>
          <w:b/>
          <w:bCs/>
          <w:sz w:val="24"/>
          <w:szCs w:val="24"/>
        </w:rPr>
        <w:t xml:space="preserve"> </w:t>
      </w:r>
      <w:hyperlink r:id="rId49" w:tooltip="View LawCiteRecord" w:history="1">
        <w:r w:rsidRPr="009D3F3C">
          <w:rPr>
            <w:rFonts w:ascii="Times New Roman" w:eastAsia="Times New Roman" w:hAnsi="Times New Roman" w:cs="Times New Roman"/>
            <w:color w:val="0000FF"/>
            <w:sz w:val="24"/>
            <w:szCs w:val="24"/>
            <w:u w:val="single"/>
          </w:rPr>
          <w:t>[1971] NZLR 502</w:t>
        </w:r>
      </w:hyperlink>
      <w:r w:rsidRPr="009D3F3C">
        <w:rPr>
          <w:rFonts w:ascii="Times New Roman" w:eastAsia="Times New Roman" w:hAnsi="Times New Roman" w:cs="Times New Roman"/>
          <w:sz w:val="24"/>
          <w:szCs w:val="24"/>
        </w:rPr>
        <w:t>, 509.</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lastRenderedPageBreak/>
        <w:t xml:space="preserve">Because of the introductory words to </w:t>
      </w:r>
      <w:hyperlink r:id="rId50" w:history="1">
        <w:r w:rsidRPr="009D3F3C">
          <w:rPr>
            <w:rFonts w:ascii="Times New Roman" w:eastAsia="Times New Roman" w:hAnsi="Times New Roman" w:cs="Times New Roman"/>
            <w:color w:val="0000FF"/>
            <w:sz w:val="24"/>
            <w:szCs w:val="24"/>
            <w:u w:val="single"/>
          </w:rPr>
          <w:t>s 89(1</w:t>
        </w:r>
        <w:proofErr w:type="gramStart"/>
        <w:r w:rsidRPr="009D3F3C">
          <w:rPr>
            <w:rFonts w:ascii="Times New Roman" w:eastAsia="Times New Roman" w:hAnsi="Times New Roman" w:cs="Times New Roman"/>
            <w:color w:val="0000FF"/>
            <w:sz w:val="24"/>
            <w:szCs w:val="24"/>
            <w:u w:val="single"/>
          </w:rPr>
          <w:t>)(</w:t>
        </w:r>
        <w:proofErr w:type="gramEnd"/>
        <w:r w:rsidRPr="009D3F3C">
          <w:rPr>
            <w:rFonts w:ascii="Times New Roman" w:eastAsia="Times New Roman" w:hAnsi="Times New Roman" w:cs="Times New Roman"/>
            <w:color w:val="0000FF"/>
            <w:sz w:val="24"/>
            <w:szCs w:val="24"/>
            <w:u w:val="single"/>
          </w:rPr>
          <w:t>a)</w:t>
        </w:r>
      </w:hyperlink>
      <w:r w:rsidRPr="009D3F3C">
        <w:rPr>
          <w:rFonts w:ascii="Times New Roman" w:eastAsia="Times New Roman" w:hAnsi="Times New Roman" w:cs="Times New Roman"/>
          <w:sz w:val="24"/>
          <w:szCs w:val="24"/>
        </w:rPr>
        <w:t>, it is necessary to inquire as to whether there have been changes in the character of the neighbourhood which have brought about the situation that it is no longer possible to achieve the purpose of the easement or restrictive covenant:</w:t>
      </w:r>
      <w:r w:rsidRPr="009D3F3C">
        <w:rPr>
          <w:rFonts w:ascii="Times New Roman" w:eastAsia="Times New Roman" w:hAnsi="Times New Roman" w:cs="Times New Roman"/>
          <w:b/>
          <w:bCs/>
          <w:sz w:val="24"/>
          <w:szCs w:val="24"/>
        </w:rPr>
        <w:t xml:space="preserve"> Re </w:t>
      </w:r>
      <w:proofErr w:type="spellStart"/>
      <w:r w:rsidRPr="009D3F3C">
        <w:rPr>
          <w:rFonts w:ascii="Times New Roman" w:eastAsia="Times New Roman" w:hAnsi="Times New Roman" w:cs="Times New Roman"/>
          <w:b/>
          <w:bCs/>
          <w:sz w:val="24"/>
          <w:szCs w:val="24"/>
        </w:rPr>
        <w:t>Miscamble</w:t>
      </w:r>
      <w:proofErr w:type="spellEnd"/>
      <w:r w:rsidRPr="009D3F3C">
        <w:rPr>
          <w:rFonts w:ascii="Times New Roman" w:eastAsia="Times New Roman" w:hAnsi="Times New Roman" w:cs="Times New Roman"/>
          <w:b/>
          <w:bCs/>
          <w:sz w:val="24"/>
          <w:szCs w:val="24"/>
        </w:rPr>
        <w:t xml:space="preserve"> </w:t>
      </w:r>
      <w:r w:rsidRPr="009D3F3C">
        <w:rPr>
          <w:rFonts w:ascii="Times New Roman" w:eastAsia="Times New Roman" w:hAnsi="Times New Roman" w:cs="Times New Roman"/>
          <w:sz w:val="24"/>
          <w:szCs w:val="24"/>
        </w:rPr>
        <w:t xml:space="preserve">(supra) at 601. The court also has regard to "other circumstances of the case which the Court may deem material". Under this head, the court is entitled to take into account a wide range of considerations: </w:t>
      </w:r>
      <w:r w:rsidRPr="009D3F3C">
        <w:rPr>
          <w:rFonts w:ascii="Times New Roman" w:eastAsia="Times New Roman" w:hAnsi="Times New Roman" w:cs="Times New Roman"/>
          <w:b/>
          <w:bCs/>
          <w:sz w:val="24"/>
          <w:szCs w:val="24"/>
        </w:rPr>
        <w:t xml:space="preserve">Re </w:t>
      </w:r>
      <w:proofErr w:type="spellStart"/>
      <w:r w:rsidRPr="009D3F3C">
        <w:rPr>
          <w:rFonts w:ascii="Times New Roman" w:eastAsia="Times New Roman" w:hAnsi="Times New Roman" w:cs="Times New Roman"/>
          <w:b/>
          <w:bCs/>
          <w:sz w:val="24"/>
          <w:szCs w:val="24"/>
        </w:rPr>
        <w:t>Roseblade</w:t>
      </w:r>
      <w:proofErr w:type="spellEnd"/>
      <w:r w:rsidRPr="009D3F3C">
        <w:rPr>
          <w:rFonts w:ascii="Times New Roman" w:eastAsia="Times New Roman" w:hAnsi="Times New Roman" w:cs="Times New Roman"/>
          <w:b/>
          <w:bCs/>
          <w:sz w:val="24"/>
          <w:szCs w:val="24"/>
        </w:rPr>
        <w:t xml:space="preserve"> </w:t>
      </w:r>
      <w:hyperlink r:id="rId51" w:tooltip="View LawCiteRecord" w:history="1">
        <w:r w:rsidRPr="009D3F3C">
          <w:rPr>
            <w:rFonts w:ascii="Times New Roman" w:eastAsia="Times New Roman" w:hAnsi="Times New Roman" w:cs="Times New Roman"/>
            <w:color w:val="0000FF"/>
            <w:sz w:val="24"/>
            <w:szCs w:val="24"/>
            <w:u w:val="single"/>
          </w:rPr>
          <w:t>[1964-5] NSWR 2044</w:t>
        </w:r>
      </w:hyperlink>
      <w:r w:rsidRPr="009D3F3C">
        <w:rPr>
          <w:rFonts w:ascii="Times New Roman" w:eastAsia="Times New Roman" w:hAnsi="Times New Roman" w:cs="Times New Roman"/>
          <w:sz w:val="24"/>
          <w:szCs w:val="24"/>
        </w:rPr>
        <w:t xml:space="preserve">, 2046 and </w:t>
      </w:r>
      <w:r w:rsidRPr="009D3F3C">
        <w:rPr>
          <w:rFonts w:ascii="Times New Roman" w:eastAsia="Times New Roman" w:hAnsi="Times New Roman" w:cs="Times New Roman"/>
          <w:b/>
          <w:bCs/>
          <w:sz w:val="24"/>
          <w:szCs w:val="24"/>
        </w:rPr>
        <w:t xml:space="preserve">Re Robinson </w:t>
      </w:r>
      <w:r w:rsidRPr="009D3F3C">
        <w:rPr>
          <w:rFonts w:ascii="Times New Roman" w:eastAsia="Times New Roman" w:hAnsi="Times New Roman" w:cs="Times New Roman"/>
          <w:sz w:val="24"/>
          <w:szCs w:val="24"/>
        </w:rPr>
        <w:t xml:space="preserve">(supra), but not the personal circumstances of the applicant: </w:t>
      </w:r>
      <w:proofErr w:type="spellStart"/>
      <w:r w:rsidRPr="009D3F3C">
        <w:rPr>
          <w:rFonts w:ascii="Times New Roman" w:eastAsia="Times New Roman" w:hAnsi="Times New Roman" w:cs="Times New Roman"/>
          <w:b/>
          <w:bCs/>
          <w:sz w:val="24"/>
          <w:szCs w:val="24"/>
        </w:rPr>
        <w:t>Cresswell</w:t>
      </w:r>
      <w:proofErr w:type="spellEnd"/>
      <w:r w:rsidRPr="009D3F3C">
        <w:rPr>
          <w:rFonts w:ascii="Times New Roman" w:eastAsia="Times New Roman" w:hAnsi="Times New Roman" w:cs="Times New Roman"/>
          <w:b/>
          <w:bCs/>
          <w:sz w:val="24"/>
          <w:szCs w:val="24"/>
        </w:rPr>
        <w:t xml:space="preserve"> v Proctor </w:t>
      </w:r>
      <w:hyperlink r:id="rId52" w:tooltip="View LawCiteRecord" w:history="1">
        <w:r w:rsidRPr="009D3F3C">
          <w:rPr>
            <w:rFonts w:ascii="Times New Roman" w:eastAsia="Times New Roman" w:hAnsi="Times New Roman" w:cs="Times New Roman"/>
            <w:color w:val="0000FF"/>
            <w:sz w:val="24"/>
            <w:szCs w:val="24"/>
            <w:u w:val="single"/>
          </w:rPr>
          <w:t>[1968] 2 All ER 682</w:t>
        </w:r>
      </w:hyperlink>
      <w:r w:rsidRPr="009D3F3C">
        <w:rPr>
          <w:rFonts w:ascii="Times New Roman" w:eastAsia="Times New Roman" w:hAnsi="Times New Roman" w:cs="Times New Roman"/>
          <w:sz w:val="24"/>
          <w:szCs w:val="24"/>
        </w:rPr>
        <w:t>, 684.</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In determining whether there has been a change in the neighbourhood, the court normally tries to identify what the neighbourhood is in any given case and then analyses the evidence to see if there has been change between the date of the grant and the date of the application. There was no such evidence in this case. Instead, Mr McDougall QC focused on the land 1-9 </w:t>
      </w:r>
      <w:proofErr w:type="spellStart"/>
      <w:r w:rsidRPr="009D3F3C">
        <w:rPr>
          <w:rFonts w:ascii="Times New Roman" w:eastAsia="Times New Roman" w:hAnsi="Times New Roman" w:cs="Times New Roman"/>
          <w:sz w:val="24"/>
          <w:szCs w:val="24"/>
        </w:rPr>
        <w:t>Ricketty</w:t>
      </w:r>
      <w:proofErr w:type="spellEnd"/>
      <w:r w:rsidRPr="009D3F3C">
        <w:rPr>
          <w:rFonts w:ascii="Times New Roman" w:eastAsia="Times New Roman" w:hAnsi="Times New Roman" w:cs="Times New Roman"/>
          <w:sz w:val="24"/>
          <w:szCs w:val="24"/>
        </w:rPr>
        <w:t xml:space="preserve"> Street and its access to highways at the time the negotiations for the Grant were commenced. I do not consider that this material goes to establishing a change in the neighbourhood at the relevant time.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However, it is also necessary to consider "other circumstances". I do not consider that despite the width of this term, it covers the situation I have just mentioned.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It is next put by the defendant that those circumstances include the fact that on 17 September 1984, the dominant tenement was consolidated into Lot 1 in DP 702945, thereby significantly increasing the size of the parcel of land which, if the plaintiff succeeds, will effectively have the benefit and use of the easement compared to the position as at the time the easement was created.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It is clear from the documents that the only lands which were to have the benefit of the easement were the Benefited Lands that is the lands comprised in certificates of title volume 6061 folio 48 and volume 6081 folio 84, and conveyance No 230 Book 2455, being the parcels identified as numbers 1, 5, and parts of 6 and 7 in the sketch DX1102. The submission is that with the consolidation in 1984 of the Benefited Lands with the Additional Land, the original lots in respect of which the easement was created no longer exist in the same form. Increased use will accordingly be made of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to such a degree as to amount radically to a complete change in user. The easement was not intended to service a property such as the plaintiff's land. Accordingly, its original purpose can no longer be served and it must be extinguished.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 bulk of traffic that is now likely to use the right of way as opposed to that of 1964 will be vastly different. According to a transport consultant, Mr </w:t>
      </w:r>
      <w:proofErr w:type="spellStart"/>
      <w:r w:rsidRPr="009D3F3C">
        <w:rPr>
          <w:rFonts w:ascii="Times New Roman" w:eastAsia="Times New Roman" w:hAnsi="Times New Roman" w:cs="Times New Roman"/>
          <w:sz w:val="24"/>
          <w:szCs w:val="24"/>
        </w:rPr>
        <w:t>Dobinson</w:t>
      </w:r>
      <w:proofErr w:type="spellEnd"/>
      <w:r w:rsidRPr="009D3F3C">
        <w:rPr>
          <w:rFonts w:ascii="Times New Roman" w:eastAsia="Times New Roman" w:hAnsi="Times New Roman" w:cs="Times New Roman"/>
          <w:sz w:val="24"/>
          <w:szCs w:val="24"/>
        </w:rPr>
        <w:t>, the proposed development of the plaintiff's land is likely to generate 140 vehicle trips daily.</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I believe that these lastmentioned matters could amount to changed circumstances. It is thus necessary to turn to the question of fact as to whether the object of the grant is incapable of fulfillment.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 object of the grant is actually set out in the document. It is "for the purposes of gaining or having reasonable access to and from the dominant tenement from and to the public highways </w:t>
      </w:r>
      <w:r w:rsidRPr="009D3F3C">
        <w:rPr>
          <w:rFonts w:ascii="Times New Roman" w:eastAsia="Times New Roman" w:hAnsi="Times New Roman" w:cs="Times New Roman"/>
          <w:sz w:val="24"/>
          <w:szCs w:val="24"/>
        </w:rPr>
        <w:lastRenderedPageBreak/>
        <w:t xml:space="preserve">adjoining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The court must consider the object of the easement at the time of its creation: </w:t>
      </w:r>
      <w:r w:rsidRPr="009D3F3C">
        <w:rPr>
          <w:rFonts w:ascii="Times New Roman" w:eastAsia="Times New Roman" w:hAnsi="Times New Roman" w:cs="Times New Roman"/>
          <w:b/>
          <w:bCs/>
          <w:sz w:val="24"/>
          <w:szCs w:val="24"/>
        </w:rPr>
        <w:t xml:space="preserve">Re Stani - </w:t>
      </w:r>
      <w:r w:rsidRPr="009D3F3C">
        <w:rPr>
          <w:rFonts w:ascii="Times New Roman" w:eastAsia="Times New Roman" w:hAnsi="Times New Roman" w:cs="Times New Roman"/>
          <w:sz w:val="24"/>
          <w:szCs w:val="24"/>
        </w:rPr>
        <w:t xml:space="preserve">Full Court of the Supreme Court of Victoria, 7 December 1976, unreported, at page 8 and the </w:t>
      </w:r>
      <w:proofErr w:type="spellStart"/>
      <w:r w:rsidRPr="009D3F3C">
        <w:rPr>
          <w:rFonts w:ascii="Times New Roman" w:eastAsia="Times New Roman" w:hAnsi="Times New Roman" w:cs="Times New Roman"/>
          <w:b/>
          <w:bCs/>
          <w:sz w:val="24"/>
          <w:szCs w:val="24"/>
        </w:rPr>
        <w:t>Hunton</w:t>
      </w:r>
      <w:proofErr w:type="spellEnd"/>
      <w:r w:rsidRPr="009D3F3C">
        <w:rPr>
          <w:rFonts w:ascii="Times New Roman" w:eastAsia="Times New Roman" w:hAnsi="Times New Roman" w:cs="Times New Roman"/>
          <w:b/>
          <w:bCs/>
          <w:sz w:val="24"/>
          <w:szCs w:val="24"/>
        </w:rPr>
        <w:t xml:space="preserve"> case </w:t>
      </w:r>
      <w:r w:rsidRPr="009D3F3C">
        <w:rPr>
          <w:rFonts w:ascii="Times New Roman" w:eastAsia="Times New Roman" w:hAnsi="Times New Roman" w:cs="Times New Roman"/>
          <w:sz w:val="24"/>
          <w:szCs w:val="24"/>
        </w:rPr>
        <w:t xml:space="preserve">(supra) at page 235. In determining what </w:t>
      </w:r>
      <w:proofErr w:type="gramStart"/>
      <w:r w:rsidRPr="009D3F3C">
        <w:rPr>
          <w:rFonts w:ascii="Times New Roman" w:eastAsia="Times New Roman" w:hAnsi="Times New Roman" w:cs="Times New Roman"/>
          <w:sz w:val="24"/>
          <w:szCs w:val="24"/>
        </w:rPr>
        <w:t>is the contemplated use</w:t>
      </w:r>
      <w:proofErr w:type="gramEnd"/>
      <w:r w:rsidRPr="009D3F3C">
        <w:rPr>
          <w:rFonts w:ascii="Times New Roman" w:eastAsia="Times New Roman" w:hAnsi="Times New Roman" w:cs="Times New Roman"/>
          <w:sz w:val="24"/>
          <w:szCs w:val="24"/>
        </w:rPr>
        <w:t xml:space="preserve">, the court has regard to the terms of the grant of the easement and relevant surrounding circumstances: </w:t>
      </w:r>
      <w:proofErr w:type="spellStart"/>
      <w:r w:rsidRPr="009D3F3C">
        <w:rPr>
          <w:rFonts w:ascii="Times New Roman" w:eastAsia="Times New Roman" w:hAnsi="Times New Roman" w:cs="Times New Roman"/>
          <w:b/>
          <w:bCs/>
          <w:sz w:val="24"/>
          <w:szCs w:val="24"/>
        </w:rPr>
        <w:t>Hunton</w:t>
      </w:r>
      <w:proofErr w:type="spellEnd"/>
      <w:r w:rsidRPr="009D3F3C">
        <w:rPr>
          <w:rFonts w:ascii="Times New Roman" w:eastAsia="Times New Roman" w:hAnsi="Times New Roman" w:cs="Times New Roman"/>
          <w:b/>
          <w:bCs/>
          <w:sz w:val="24"/>
          <w:szCs w:val="24"/>
        </w:rPr>
        <w:t xml:space="preserve"> </w:t>
      </w:r>
      <w:r w:rsidRPr="009D3F3C">
        <w:rPr>
          <w:rFonts w:ascii="Times New Roman" w:eastAsia="Times New Roman" w:hAnsi="Times New Roman" w:cs="Times New Roman"/>
          <w:sz w:val="24"/>
          <w:szCs w:val="24"/>
        </w:rPr>
        <w:t>at p 235. It is nowhere suggested that the relevant date is the date when negotiations for the easement commenced. As with all other deeds, they are construed as at the date they are delivered.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Mr McDougall QC again goes back to the time when the negotiations for the Grant commenced, namely August 1959. The forensic reason he wishes to do this is that it was only in 1960 that </w:t>
      </w:r>
      <w:proofErr w:type="spellStart"/>
      <w:r w:rsidRPr="009D3F3C">
        <w:rPr>
          <w:rFonts w:ascii="Times New Roman" w:eastAsia="Times New Roman" w:hAnsi="Times New Roman" w:cs="Times New Roman"/>
          <w:sz w:val="24"/>
          <w:szCs w:val="24"/>
        </w:rPr>
        <w:t>Ansett</w:t>
      </w:r>
      <w:proofErr w:type="spellEnd"/>
      <w:r w:rsidRPr="009D3F3C">
        <w:rPr>
          <w:rFonts w:ascii="Times New Roman" w:eastAsia="Times New Roman" w:hAnsi="Times New Roman" w:cs="Times New Roman"/>
          <w:sz w:val="24"/>
          <w:szCs w:val="24"/>
        </w:rPr>
        <w:t xml:space="preserve"> acquired lands fronting Gardeners Road which at this point runs parallel to </w:t>
      </w:r>
      <w:proofErr w:type="spellStart"/>
      <w:r w:rsidRPr="009D3F3C">
        <w:rPr>
          <w:rFonts w:ascii="Times New Roman" w:eastAsia="Times New Roman" w:hAnsi="Times New Roman" w:cs="Times New Roman"/>
          <w:sz w:val="24"/>
          <w:szCs w:val="24"/>
        </w:rPr>
        <w:t>Ricketty</w:t>
      </w:r>
      <w:proofErr w:type="spellEnd"/>
      <w:r w:rsidRPr="009D3F3C">
        <w:rPr>
          <w:rFonts w:ascii="Times New Roman" w:eastAsia="Times New Roman" w:hAnsi="Times New Roman" w:cs="Times New Roman"/>
          <w:sz w:val="24"/>
          <w:szCs w:val="24"/>
        </w:rPr>
        <w:t xml:space="preserve"> Street. Thus in 1959, access to the plaintiff's land was markedly inferior to the situation in 1964. With respect, I cannot see how this is helpful. The exercise the court has to perform is to see the purpose of the Grant when it was made. If there had been some serious change of circumstances between the </w:t>
      </w:r>
      <w:proofErr w:type="gramStart"/>
      <w:r w:rsidRPr="009D3F3C">
        <w:rPr>
          <w:rFonts w:ascii="Times New Roman" w:eastAsia="Times New Roman" w:hAnsi="Times New Roman" w:cs="Times New Roman"/>
          <w:sz w:val="24"/>
          <w:szCs w:val="24"/>
        </w:rPr>
        <w:t>time</w:t>
      </w:r>
      <w:proofErr w:type="gramEnd"/>
      <w:r w:rsidRPr="009D3F3C">
        <w:rPr>
          <w:rFonts w:ascii="Times New Roman" w:eastAsia="Times New Roman" w:hAnsi="Times New Roman" w:cs="Times New Roman"/>
          <w:sz w:val="24"/>
          <w:szCs w:val="24"/>
        </w:rPr>
        <w:t xml:space="preserve"> negotiations for the Grant commenced and the time when the Grant was made, one can normally expect that such would have influenced the form of the Grant.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Mr McDougall QC puts the argument that by the time of the Grant the circumstances necessitating its creation had changed. That argument falls for the same reason that I have previously given.</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Then the submission is put that the easement is obsolete in that it has not, since the date of its creation, been used for the purpose it was created. It has not been used for that purpose because circumstances changed when </w:t>
      </w:r>
      <w:proofErr w:type="spellStart"/>
      <w:r w:rsidRPr="009D3F3C">
        <w:rPr>
          <w:rFonts w:ascii="Times New Roman" w:eastAsia="Times New Roman" w:hAnsi="Times New Roman" w:cs="Times New Roman"/>
          <w:sz w:val="24"/>
          <w:szCs w:val="24"/>
        </w:rPr>
        <w:t>Ansett</w:t>
      </w:r>
      <w:proofErr w:type="spellEnd"/>
      <w:r w:rsidRPr="009D3F3C">
        <w:rPr>
          <w:rFonts w:ascii="Times New Roman" w:eastAsia="Times New Roman" w:hAnsi="Times New Roman" w:cs="Times New Roman"/>
          <w:sz w:val="24"/>
          <w:szCs w:val="24"/>
        </w:rPr>
        <w:t xml:space="preserve"> acquired access and egress to and from Gardeners Road. That circumstance has remained unchanged to the present day. This again confuses the "object of the Grant" and the circumstances which led to the negotiations for the Grant being commenced.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 words of the Grant refer to reasonable access not just to </w:t>
      </w:r>
      <w:proofErr w:type="spellStart"/>
      <w:r w:rsidRPr="009D3F3C">
        <w:rPr>
          <w:rFonts w:ascii="Times New Roman" w:eastAsia="Times New Roman" w:hAnsi="Times New Roman" w:cs="Times New Roman"/>
          <w:sz w:val="24"/>
          <w:szCs w:val="24"/>
        </w:rPr>
        <w:t>Ricketty</w:t>
      </w:r>
      <w:proofErr w:type="spellEnd"/>
      <w:r w:rsidRPr="009D3F3C">
        <w:rPr>
          <w:rFonts w:ascii="Times New Roman" w:eastAsia="Times New Roman" w:hAnsi="Times New Roman" w:cs="Times New Roman"/>
          <w:sz w:val="24"/>
          <w:szCs w:val="24"/>
        </w:rPr>
        <w:t xml:space="preserve"> Street, but to "public highways adjoining". This may have had a particular meaning in 1964 because it appears that there were proposals at that time to dedicate some part of the lands then held by the Minister of Public Works as public roads. This did not occur. However, the wider expression "public highways adjoining" shows that the object of the Grant was not just to gain access to </w:t>
      </w:r>
      <w:proofErr w:type="spellStart"/>
      <w:r w:rsidRPr="009D3F3C">
        <w:rPr>
          <w:rFonts w:ascii="Times New Roman" w:eastAsia="Times New Roman" w:hAnsi="Times New Roman" w:cs="Times New Roman"/>
          <w:sz w:val="24"/>
          <w:szCs w:val="24"/>
        </w:rPr>
        <w:t>Ricketty</w:t>
      </w:r>
      <w:proofErr w:type="spellEnd"/>
      <w:r w:rsidRPr="009D3F3C">
        <w:rPr>
          <w:rFonts w:ascii="Times New Roman" w:eastAsia="Times New Roman" w:hAnsi="Times New Roman" w:cs="Times New Roman"/>
          <w:sz w:val="24"/>
          <w:szCs w:val="24"/>
        </w:rPr>
        <w:t xml:space="preserve"> Street.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In fact, it may well be correct to say, as Mr McDougall QC submits, that by August 1971 all vehicles owned by </w:t>
      </w:r>
      <w:proofErr w:type="spellStart"/>
      <w:r w:rsidRPr="009D3F3C">
        <w:rPr>
          <w:rFonts w:ascii="Times New Roman" w:eastAsia="Times New Roman" w:hAnsi="Times New Roman" w:cs="Times New Roman"/>
          <w:sz w:val="24"/>
          <w:szCs w:val="24"/>
        </w:rPr>
        <w:t>Ansett</w:t>
      </w:r>
      <w:proofErr w:type="spellEnd"/>
      <w:r w:rsidRPr="009D3F3C">
        <w:rPr>
          <w:rFonts w:ascii="Times New Roman" w:eastAsia="Times New Roman" w:hAnsi="Times New Roman" w:cs="Times New Roman"/>
          <w:sz w:val="24"/>
          <w:szCs w:val="24"/>
        </w:rPr>
        <w:t xml:space="preserve"> and those of its regular sub-contractors used the Gardeners Road entrance, because access was not possible for large vehicles through </w:t>
      </w:r>
      <w:proofErr w:type="spellStart"/>
      <w:r w:rsidRPr="009D3F3C">
        <w:rPr>
          <w:rFonts w:ascii="Times New Roman" w:eastAsia="Times New Roman" w:hAnsi="Times New Roman" w:cs="Times New Roman"/>
          <w:sz w:val="24"/>
          <w:szCs w:val="24"/>
        </w:rPr>
        <w:t>Ansett's</w:t>
      </w:r>
      <w:proofErr w:type="spellEnd"/>
      <w:r w:rsidRPr="009D3F3C">
        <w:rPr>
          <w:rFonts w:ascii="Times New Roman" w:eastAsia="Times New Roman" w:hAnsi="Times New Roman" w:cs="Times New Roman"/>
          <w:sz w:val="24"/>
          <w:szCs w:val="24"/>
        </w:rPr>
        <w:t xml:space="preserve"> </w:t>
      </w:r>
      <w:proofErr w:type="spellStart"/>
      <w:r w:rsidRPr="009D3F3C">
        <w:rPr>
          <w:rFonts w:ascii="Times New Roman" w:eastAsia="Times New Roman" w:hAnsi="Times New Roman" w:cs="Times New Roman"/>
          <w:sz w:val="24"/>
          <w:szCs w:val="24"/>
        </w:rPr>
        <w:t>Ricketty</w:t>
      </w:r>
      <w:proofErr w:type="spellEnd"/>
      <w:r w:rsidRPr="009D3F3C">
        <w:rPr>
          <w:rFonts w:ascii="Times New Roman" w:eastAsia="Times New Roman" w:hAnsi="Times New Roman" w:cs="Times New Roman"/>
          <w:sz w:val="24"/>
          <w:szCs w:val="24"/>
        </w:rPr>
        <w:t xml:space="preserve"> Street entrance. Indeed, the evidence indicates that after the Grant, the easement was only used with any regularity by vehicles wishing to park in the car park at the corner of </w:t>
      </w:r>
      <w:proofErr w:type="spellStart"/>
      <w:r w:rsidRPr="009D3F3C">
        <w:rPr>
          <w:rFonts w:ascii="Times New Roman" w:eastAsia="Times New Roman" w:hAnsi="Times New Roman" w:cs="Times New Roman"/>
          <w:sz w:val="24"/>
          <w:szCs w:val="24"/>
        </w:rPr>
        <w:t>Ricketty</w:t>
      </w:r>
      <w:proofErr w:type="spellEnd"/>
      <w:r w:rsidRPr="009D3F3C">
        <w:rPr>
          <w:rFonts w:ascii="Times New Roman" w:eastAsia="Times New Roman" w:hAnsi="Times New Roman" w:cs="Times New Roman"/>
          <w:sz w:val="24"/>
          <w:szCs w:val="24"/>
        </w:rPr>
        <w:t xml:space="preserve"> Street.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In November 1971, both access to and egress from the </w:t>
      </w:r>
      <w:proofErr w:type="spellStart"/>
      <w:r w:rsidRPr="009D3F3C">
        <w:rPr>
          <w:rFonts w:ascii="Times New Roman" w:eastAsia="Times New Roman" w:hAnsi="Times New Roman" w:cs="Times New Roman"/>
          <w:sz w:val="24"/>
          <w:szCs w:val="24"/>
        </w:rPr>
        <w:t>Ansett</w:t>
      </w:r>
      <w:proofErr w:type="spellEnd"/>
      <w:r w:rsidRPr="009D3F3C">
        <w:rPr>
          <w:rFonts w:ascii="Times New Roman" w:eastAsia="Times New Roman" w:hAnsi="Times New Roman" w:cs="Times New Roman"/>
          <w:sz w:val="24"/>
          <w:szCs w:val="24"/>
        </w:rPr>
        <w:t xml:space="preserve"> properties had been confined to Gardeners Road. At that time, an application had been made by </w:t>
      </w:r>
      <w:proofErr w:type="spellStart"/>
      <w:r w:rsidRPr="009D3F3C">
        <w:rPr>
          <w:rFonts w:ascii="Times New Roman" w:eastAsia="Times New Roman" w:hAnsi="Times New Roman" w:cs="Times New Roman"/>
          <w:sz w:val="24"/>
          <w:szCs w:val="24"/>
        </w:rPr>
        <w:t>Ansett</w:t>
      </w:r>
      <w:proofErr w:type="spellEnd"/>
      <w:r w:rsidRPr="009D3F3C">
        <w:rPr>
          <w:rFonts w:ascii="Times New Roman" w:eastAsia="Times New Roman" w:hAnsi="Times New Roman" w:cs="Times New Roman"/>
          <w:sz w:val="24"/>
          <w:szCs w:val="24"/>
        </w:rPr>
        <w:t xml:space="preserve"> to Botany Council to alter the traffic arrangements with access from Gardeners Road and egress to </w:t>
      </w:r>
      <w:proofErr w:type="spellStart"/>
      <w:r w:rsidRPr="009D3F3C">
        <w:rPr>
          <w:rFonts w:ascii="Times New Roman" w:eastAsia="Times New Roman" w:hAnsi="Times New Roman" w:cs="Times New Roman"/>
          <w:sz w:val="24"/>
          <w:szCs w:val="24"/>
        </w:rPr>
        <w:t>Ricketty</w:t>
      </w:r>
      <w:proofErr w:type="spellEnd"/>
      <w:r w:rsidRPr="009D3F3C">
        <w:rPr>
          <w:rFonts w:ascii="Times New Roman" w:eastAsia="Times New Roman" w:hAnsi="Times New Roman" w:cs="Times New Roman"/>
          <w:sz w:val="24"/>
          <w:szCs w:val="24"/>
        </w:rPr>
        <w:t xml:space="preserve"> Street. This application was rejected by the Commissioner of Police and the Department of Motor Transport in January 1972. The defendant submits that thereafter, the easement was used not for its </w:t>
      </w:r>
      <w:r w:rsidRPr="009D3F3C">
        <w:rPr>
          <w:rFonts w:ascii="Times New Roman" w:eastAsia="Times New Roman" w:hAnsi="Times New Roman" w:cs="Times New Roman"/>
          <w:sz w:val="24"/>
          <w:szCs w:val="24"/>
        </w:rPr>
        <w:lastRenderedPageBreak/>
        <w:t xml:space="preserve">intended purpose, that is, as a means of effecting reasonable access from the dominant tenement to </w:t>
      </w:r>
      <w:proofErr w:type="spellStart"/>
      <w:r w:rsidRPr="009D3F3C">
        <w:rPr>
          <w:rFonts w:ascii="Times New Roman" w:eastAsia="Times New Roman" w:hAnsi="Times New Roman" w:cs="Times New Roman"/>
          <w:sz w:val="24"/>
          <w:szCs w:val="24"/>
        </w:rPr>
        <w:t>Ricketty</w:t>
      </w:r>
      <w:proofErr w:type="spellEnd"/>
      <w:r w:rsidRPr="009D3F3C">
        <w:rPr>
          <w:rFonts w:ascii="Times New Roman" w:eastAsia="Times New Roman" w:hAnsi="Times New Roman" w:cs="Times New Roman"/>
          <w:sz w:val="24"/>
          <w:szCs w:val="24"/>
        </w:rPr>
        <w:t xml:space="preserve"> Street.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In my view these submissions should be rejected. The object of the easement was access. Whilst one looks at the situation at the time of the Grant, one does not do so narrowly. It is, with respect, artificial to construe the object of the Grant narrowly both with respect to circumstances in 1959 or with respect to the type of vehicles that were or were not using the access in 1964-1972 or thereafter. That the object of access is still capable of performance and is of value is shown by the fact that the plaintiff thought that such access was a selling point when it acquired the land and the value it has for more flexible use of the land.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One point that did occur to me, but was not argued, was whether the plaintiff was entitled to access along any part of the common boundary or at certain points only. However, as it was not argued, I will merely flag it in case it is necessary at a later stage of this litigation or in subsequent litigation to determine the point.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3. Does the continued use of the easement unreasonably impede the use of the defendant's land without securing practical benefit to the plaintiff?</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An easement will impede the reasonable user of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land without securing any practical benefit where it can be shown that the restriction "...hinders, to a real, sensible degree, the land being reasonably used, having due regard to the situation it occupies, to the surrounding property, and to the purpose" of the easement. This quotation is from the judgment of Lord Evershed MR in </w:t>
      </w:r>
      <w:r w:rsidRPr="009D3F3C">
        <w:rPr>
          <w:rFonts w:ascii="Times New Roman" w:eastAsia="Times New Roman" w:hAnsi="Times New Roman" w:cs="Times New Roman"/>
          <w:b/>
          <w:bCs/>
          <w:sz w:val="24"/>
          <w:szCs w:val="24"/>
        </w:rPr>
        <w:t xml:space="preserve">Re Ghey and Galton's Application </w:t>
      </w:r>
      <w:hyperlink r:id="rId53" w:tooltip="View LawCiteRecord" w:history="1">
        <w:r w:rsidRPr="009D3F3C">
          <w:rPr>
            <w:rFonts w:ascii="Times New Roman" w:eastAsia="Times New Roman" w:hAnsi="Times New Roman" w:cs="Times New Roman"/>
            <w:color w:val="0000FF"/>
            <w:sz w:val="24"/>
            <w:szCs w:val="24"/>
            <w:u w:val="single"/>
          </w:rPr>
          <w:t>[1957] 2 QB 650</w:t>
        </w:r>
      </w:hyperlink>
      <w:r w:rsidRPr="009D3F3C">
        <w:rPr>
          <w:rFonts w:ascii="Times New Roman" w:eastAsia="Times New Roman" w:hAnsi="Times New Roman" w:cs="Times New Roman"/>
          <w:sz w:val="24"/>
          <w:szCs w:val="24"/>
        </w:rPr>
        <w:t xml:space="preserve">, 663, a case dealing with restrictive covenants, but the words can equally be applied when one is considering easements. See also </w:t>
      </w:r>
      <w:r w:rsidRPr="009D3F3C">
        <w:rPr>
          <w:rFonts w:ascii="Times New Roman" w:eastAsia="Times New Roman" w:hAnsi="Times New Roman" w:cs="Times New Roman"/>
          <w:b/>
          <w:bCs/>
          <w:sz w:val="24"/>
          <w:szCs w:val="24"/>
        </w:rPr>
        <w:t xml:space="preserve">Re Henderson's Conveyance </w:t>
      </w:r>
      <w:hyperlink r:id="rId54" w:tooltip="View LawCiteRecord" w:history="1">
        <w:r w:rsidRPr="009D3F3C">
          <w:rPr>
            <w:rFonts w:ascii="Times New Roman" w:eastAsia="Times New Roman" w:hAnsi="Times New Roman" w:cs="Times New Roman"/>
            <w:color w:val="0000FF"/>
            <w:sz w:val="24"/>
            <w:szCs w:val="24"/>
            <w:u w:val="single"/>
          </w:rPr>
          <w:t>[1940] Ch 835</w:t>
        </w:r>
      </w:hyperlink>
      <w:r w:rsidRPr="009D3F3C">
        <w:rPr>
          <w:rFonts w:ascii="Times New Roman" w:eastAsia="Times New Roman" w:hAnsi="Times New Roman" w:cs="Times New Roman"/>
          <w:sz w:val="24"/>
          <w:szCs w:val="24"/>
        </w:rPr>
        <w:t xml:space="preserve">, 846 per Farwell J; </w:t>
      </w:r>
      <w:r w:rsidRPr="009D3F3C">
        <w:rPr>
          <w:rFonts w:ascii="Times New Roman" w:eastAsia="Times New Roman" w:hAnsi="Times New Roman" w:cs="Times New Roman"/>
          <w:b/>
          <w:bCs/>
          <w:sz w:val="24"/>
          <w:szCs w:val="24"/>
        </w:rPr>
        <w:t xml:space="preserve">Heaton v </w:t>
      </w:r>
      <w:proofErr w:type="spellStart"/>
      <w:r w:rsidRPr="009D3F3C">
        <w:rPr>
          <w:rFonts w:ascii="Times New Roman" w:eastAsia="Times New Roman" w:hAnsi="Times New Roman" w:cs="Times New Roman"/>
          <w:b/>
          <w:bCs/>
          <w:sz w:val="24"/>
          <w:szCs w:val="24"/>
        </w:rPr>
        <w:t>Loblay</w:t>
      </w:r>
      <w:proofErr w:type="spellEnd"/>
      <w:r w:rsidRPr="009D3F3C">
        <w:rPr>
          <w:rFonts w:ascii="Times New Roman" w:eastAsia="Times New Roman" w:hAnsi="Times New Roman" w:cs="Times New Roman"/>
          <w:b/>
          <w:bCs/>
          <w:sz w:val="24"/>
          <w:szCs w:val="24"/>
        </w:rPr>
        <w:t xml:space="preserve"> </w:t>
      </w:r>
      <w:hyperlink r:id="rId55" w:tooltip="View LawCiteRecord" w:history="1">
        <w:r w:rsidRPr="009D3F3C">
          <w:rPr>
            <w:rFonts w:ascii="Times New Roman" w:eastAsia="Times New Roman" w:hAnsi="Times New Roman" w:cs="Times New Roman"/>
            <w:color w:val="0000FF"/>
            <w:sz w:val="24"/>
            <w:szCs w:val="24"/>
            <w:u w:val="single"/>
          </w:rPr>
          <w:t>(1960) SR (NSW) 332</w:t>
        </w:r>
      </w:hyperlink>
      <w:r w:rsidRPr="009D3F3C">
        <w:rPr>
          <w:rFonts w:ascii="Times New Roman" w:eastAsia="Times New Roman" w:hAnsi="Times New Roman" w:cs="Times New Roman"/>
          <w:sz w:val="24"/>
          <w:szCs w:val="24"/>
        </w:rPr>
        <w:t xml:space="preserve">, 335 per Myers J; </w:t>
      </w:r>
      <w:r w:rsidRPr="009D3F3C">
        <w:rPr>
          <w:rFonts w:ascii="Times New Roman" w:eastAsia="Times New Roman" w:hAnsi="Times New Roman" w:cs="Times New Roman"/>
          <w:b/>
          <w:bCs/>
          <w:sz w:val="24"/>
          <w:szCs w:val="24"/>
        </w:rPr>
        <w:t>Re Stani</w:t>
      </w:r>
      <w:r w:rsidRPr="009D3F3C">
        <w:rPr>
          <w:rFonts w:ascii="Times New Roman" w:eastAsia="Times New Roman" w:hAnsi="Times New Roman" w:cs="Times New Roman"/>
          <w:sz w:val="24"/>
          <w:szCs w:val="24"/>
        </w:rPr>
        <w:t xml:space="preserve"> supra, at 8 and</w:t>
      </w:r>
      <w:r w:rsidRPr="009D3F3C">
        <w:rPr>
          <w:rFonts w:ascii="Times New Roman" w:eastAsia="Times New Roman" w:hAnsi="Times New Roman" w:cs="Times New Roman"/>
          <w:b/>
          <w:bCs/>
          <w:sz w:val="24"/>
          <w:szCs w:val="24"/>
        </w:rPr>
        <w:t xml:space="preserve"> Re Alexandra </w:t>
      </w:r>
      <w:hyperlink r:id="rId56" w:tooltip="View LawCiteRecord" w:history="1">
        <w:r w:rsidRPr="009D3F3C">
          <w:rPr>
            <w:rFonts w:ascii="Times New Roman" w:eastAsia="Times New Roman" w:hAnsi="Times New Roman" w:cs="Times New Roman"/>
            <w:color w:val="0000FF"/>
            <w:sz w:val="24"/>
            <w:szCs w:val="24"/>
            <w:u w:val="single"/>
          </w:rPr>
          <w:t>[1980] VR 55</w:t>
        </w:r>
      </w:hyperlink>
      <w:r w:rsidRPr="009D3F3C">
        <w:rPr>
          <w:rFonts w:ascii="Times New Roman" w:eastAsia="Times New Roman" w:hAnsi="Times New Roman" w:cs="Times New Roman"/>
          <w:sz w:val="24"/>
          <w:szCs w:val="24"/>
        </w:rPr>
        <w:t xml:space="preserve">, 58-59 per </w:t>
      </w:r>
      <w:proofErr w:type="spellStart"/>
      <w:r w:rsidRPr="009D3F3C">
        <w:rPr>
          <w:rFonts w:ascii="Times New Roman" w:eastAsia="Times New Roman" w:hAnsi="Times New Roman" w:cs="Times New Roman"/>
          <w:sz w:val="24"/>
          <w:szCs w:val="24"/>
        </w:rPr>
        <w:t>Menhennitt</w:t>
      </w:r>
      <w:proofErr w:type="spellEnd"/>
      <w:r w:rsidRPr="009D3F3C">
        <w:rPr>
          <w:rFonts w:ascii="Times New Roman" w:eastAsia="Times New Roman" w:hAnsi="Times New Roman" w:cs="Times New Roman"/>
          <w:sz w:val="24"/>
          <w:szCs w:val="24"/>
        </w:rPr>
        <w:t xml:space="preserve"> J.</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 first submission here is much the same as that advanced under the first limb of paragraph (a), that is that as the circumstances necessitating the creation of the easement ceased to exist prior to the easement's creation and as the dominant tenement, which is now part of the plaintiff's land has unfettered access to </w:t>
      </w:r>
      <w:proofErr w:type="spellStart"/>
      <w:r w:rsidRPr="009D3F3C">
        <w:rPr>
          <w:rFonts w:ascii="Times New Roman" w:eastAsia="Times New Roman" w:hAnsi="Times New Roman" w:cs="Times New Roman"/>
          <w:sz w:val="24"/>
          <w:szCs w:val="24"/>
        </w:rPr>
        <w:t>Ricketty</w:t>
      </w:r>
      <w:proofErr w:type="spellEnd"/>
      <w:r w:rsidRPr="009D3F3C">
        <w:rPr>
          <w:rFonts w:ascii="Times New Roman" w:eastAsia="Times New Roman" w:hAnsi="Times New Roman" w:cs="Times New Roman"/>
          <w:sz w:val="24"/>
          <w:szCs w:val="24"/>
        </w:rPr>
        <w:t xml:space="preserve"> Street and Gardeners Road, the easement no longer secures any practical benefit to the person entitled to it. This must be rejected for reasons closely allied to the reasons I gave when dealing with the first limb of paragraph (a).</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Then it is put that the existence of the easement will also impede the continued use of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by the defendant as approved by Botany Council on 20 September 1988 and in respect of which the defendant has relied.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 evidence is that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has been used exclusively by the defendant since 1981 as a parking lot. Further, on 11 August 1988, the defendant lodged a development application with Botany Council for the redevelopment of the defendant's land, including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That development application was approved on 20 September 1988. The defendant was at no time informed of any objection being lodged with the Council to the development application, nor was any objection made directly to the defendant. The defendant says that in </w:t>
      </w:r>
      <w:r w:rsidRPr="009D3F3C">
        <w:rPr>
          <w:rFonts w:ascii="Times New Roman" w:eastAsia="Times New Roman" w:hAnsi="Times New Roman" w:cs="Times New Roman"/>
          <w:sz w:val="24"/>
          <w:szCs w:val="24"/>
        </w:rPr>
        <w:lastRenderedPageBreak/>
        <w:t xml:space="preserve">reliance upon that development approval, it carried out certain works, including works on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such as constructing dwarf retaining walls, car park </w:t>
      </w:r>
      <w:proofErr w:type="spellStart"/>
      <w:r w:rsidRPr="009D3F3C">
        <w:rPr>
          <w:rFonts w:ascii="Times New Roman" w:eastAsia="Times New Roman" w:hAnsi="Times New Roman" w:cs="Times New Roman"/>
          <w:sz w:val="24"/>
          <w:szCs w:val="24"/>
        </w:rPr>
        <w:t>kerbing</w:t>
      </w:r>
      <w:proofErr w:type="spellEnd"/>
      <w:r w:rsidRPr="009D3F3C">
        <w:rPr>
          <w:rFonts w:ascii="Times New Roman" w:eastAsia="Times New Roman" w:hAnsi="Times New Roman" w:cs="Times New Roman"/>
          <w:sz w:val="24"/>
          <w:szCs w:val="24"/>
        </w:rPr>
        <w:t>, and landscaping.</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There is no doubt that the present use of the defendant's land is impeded by the existence of the right of way. However, it must always be remembered that an applicant for relief under </w:t>
      </w:r>
      <w:hyperlink r:id="rId57" w:history="1">
        <w:r w:rsidRPr="009D3F3C">
          <w:rPr>
            <w:rFonts w:ascii="Times New Roman" w:eastAsia="Times New Roman" w:hAnsi="Times New Roman" w:cs="Times New Roman"/>
            <w:color w:val="0000FF"/>
            <w:sz w:val="24"/>
            <w:szCs w:val="24"/>
            <w:u w:val="single"/>
          </w:rPr>
          <w:t>s 89</w:t>
        </w:r>
      </w:hyperlink>
      <w:r w:rsidRPr="009D3F3C">
        <w:rPr>
          <w:rFonts w:ascii="Times New Roman" w:eastAsia="Times New Roman" w:hAnsi="Times New Roman" w:cs="Times New Roman"/>
          <w:sz w:val="24"/>
          <w:szCs w:val="24"/>
        </w:rPr>
        <w:t xml:space="preserve"> of the </w:t>
      </w:r>
      <w:hyperlink r:id="rId58" w:history="1">
        <w:r w:rsidRPr="009D3F3C">
          <w:rPr>
            <w:rFonts w:ascii="Times New Roman" w:eastAsia="Times New Roman" w:hAnsi="Times New Roman" w:cs="Times New Roman"/>
            <w:color w:val="0000FF"/>
            <w:sz w:val="24"/>
            <w:szCs w:val="24"/>
            <w:u w:val="single"/>
          </w:rPr>
          <w:t>Conveyancing Act</w:t>
        </w:r>
      </w:hyperlink>
      <w:r w:rsidRPr="009D3F3C">
        <w:rPr>
          <w:rFonts w:ascii="Times New Roman" w:eastAsia="Times New Roman" w:hAnsi="Times New Roman" w:cs="Times New Roman"/>
          <w:sz w:val="24"/>
          <w:szCs w:val="24"/>
        </w:rPr>
        <w:t xml:space="preserve"> must show not merely that a reasonable user of the land would be impeded but that any reasonable user of the land would be impeded: </w:t>
      </w:r>
      <w:r w:rsidRPr="009D3F3C">
        <w:rPr>
          <w:rFonts w:ascii="Times New Roman" w:eastAsia="Times New Roman" w:hAnsi="Times New Roman" w:cs="Times New Roman"/>
          <w:b/>
          <w:bCs/>
          <w:sz w:val="24"/>
          <w:szCs w:val="24"/>
        </w:rPr>
        <w:t xml:space="preserve">Heaton v </w:t>
      </w:r>
      <w:proofErr w:type="spellStart"/>
      <w:r w:rsidRPr="009D3F3C">
        <w:rPr>
          <w:rFonts w:ascii="Times New Roman" w:eastAsia="Times New Roman" w:hAnsi="Times New Roman" w:cs="Times New Roman"/>
          <w:b/>
          <w:bCs/>
          <w:sz w:val="24"/>
          <w:szCs w:val="24"/>
        </w:rPr>
        <w:t>Loblay</w:t>
      </w:r>
      <w:proofErr w:type="spellEnd"/>
      <w:r w:rsidRPr="009D3F3C">
        <w:rPr>
          <w:rFonts w:ascii="Times New Roman" w:eastAsia="Times New Roman" w:hAnsi="Times New Roman" w:cs="Times New Roman"/>
          <w:b/>
          <w:bCs/>
          <w:sz w:val="24"/>
          <w:szCs w:val="24"/>
        </w:rPr>
        <w:t xml:space="preserve"> </w:t>
      </w:r>
      <w:r w:rsidRPr="009D3F3C">
        <w:rPr>
          <w:rFonts w:ascii="Times New Roman" w:eastAsia="Times New Roman" w:hAnsi="Times New Roman" w:cs="Times New Roman"/>
          <w:sz w:val="24"/>
          <w:szCs w:val="24"/>
        </w:rPr>
        <w:t xml:space="preserve">(supra) at 335; </w:t>
      </w:r>
      <w:proofErr w:type="spellStart"/>
      <w:r w:rsidRPr="009D3F3C">
        <w:rPr>
          <w:rFonts w:ascii="Times New Roman" w:eastAsia="Times New Roman" w:hAnsi="Times New Roman" w:cs="Times New Roman"/>
          <w:b/>
          <w:bCs/>
          <w:sz w:val="24"/>
          <w:szCs w:val="24"/>
        </w:rPr>
        <w:t>Stannard</w:t>
      </w:r>
      <w:proofErr w:type="spellEnd"/>
      <w:r w:rsidRPr="009D3F3C">
        <w:rPr>
          <w:rFonts w:ascii="Times New Roman" w:eastAsia="Times New Roman" w:hAnsi="Times New Roman" w:cs="Times New Roman"/>
          <w:b/>
          <w:bCs/>
          <w:sz w:val="24"/>
          <w:szCs w:val="24"/>
        </w:rPr>
        <w:t xml:space="preserve"> v </w:t>
      </w:r>
      <w:proofErr w:type="spellStart"/>
      <w:r w:rsidRPr="009D3F3C">
        <w:rPr>
          <w:rFonts w:ascii="Times New Roman" w:eastAsia="Times New Roman" w:hAnsi="Times New Roman" w:cs="Times New Roman"/>
          <w:b/>
          <w:bCs/>
          <w:sz w:val="24"/>
          <w:szCs w:val="24"/>
        </w:rPr>
        <w:t>Issa</w:t>
      </w:r>
      <w:proofErr w:type="spellEnd"/>
      <w:r w:rsidRPr="009D3F3C">
        <w:rPr>
          <w:rFonts w:ascii="Times New Roman" w:eastAsia="Times New Roman" w:hAnsi="Times New Roman" w:cs="Times New Roman"/>
          <w:sz w:val="24"/>
          <w:szCs w:val="24"/>
        </w:rPr>
        <w:t xml:space="preserve"> </w:t>
      </w:r>
      <w:hyperlink r:id="rId59" w:tooltip="View LawCiteRecord" w:history="1">
        <w:r w:rsidRPr="009D3F3C">
          <w:rPr>
            <w:rFonts w:ascii="Times New Roman" w:eastAsia="Times New Roman" w:hAnsi="Times New Roman" w:cs="Times New Roman"/>
            <w:color w:val="0000FF"/>
            <w:sz w:val="24"/>
            <w:szCs w:val="24"/>
            <w:u w:val="single"/>
          </w:rPr>
          <w:t>[1987] AC 175.</w:t>
        </w:r>
      </w:hyperlink>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However there are two requirements for applicants who seek to pass through this gateway. First there must be an impediment to any reasonable user, but secondly that impediment must not secure practical benefits to the owners of the dominant tenement.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It is difficult to see on the evidence how it can be suggested that the right of way does not secure practical benefits to the owner of the dominant tenement. The ability to </w:t>
      </w:r>
      <w:proofErr w:type="spellStart"/>
      <w:r w:rsidRPr="009D3F3C">
        <w:rPr>
          <w:rFonts w:ascii="Times New Roman" w:eastAsia="Times New Roman" w:hAnsi="Times New Roman" w:cs="Times New Roman"/>
          <w:sz w:val="24"/>
          <w:szCs w:val="24"/>
        </w:rPr>
        <w:t>utilise</w:t>
      </w:r>
      <w:proofErr w:type="spellEnd"/>
      <w:r w:rsidRPr="009D3F3C">
        <w:rPr>
          <w:rFonts w:ascii="Times New Roman" w:eastAsia="Times New Roman" w:hAnsi="Times New Roman" w:cs="Times New Roman"/>
          <w:sz w:val="24"/>
          <w:szCs w:val="24"/>
        </w:rPr>
        <w:t xml:space="preserve"> additional access space through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is, as Mr Donaldson submits, </w:t>
      </w:r>
      <w:proofErr w:type="spellStart"/>
      <w:r w:rsidRPr="009D3F3C">
        <w:rPr>
          <w:rFonts w:ascii="Times New Roman" w:eastAsia="Times New Roman" w:hAnsi="Times New Roman" w:cs="Times New Roman"/>
          <w:sz w:val="24"/>
          <w:szCs w:val="24"/>
        </w:rPr>
        <w:t>self evidently</w:t>
      </w:r>
      <w:proofErr w:type="spellEnd"/>
      <w:r w:rsidRPr="009D3F3C">
        <w:rPr>
          <w:rFonts w:ascii="Times New Roman" w:eastAsia="Times New Roman" w:hAnsi="Times New Roman" w:cs="Times New Roman"/>
          <w:sz w:val="24"/>
          <w:szCs w:val="24"/>
        </w:rPr>
        <w:t xml:space="preserve"> a "`practical benefit"'. The evidence of </w:t>
      </w:r>
      <w:proofErr w:type="spellStart"/>
      <w:r w:rsidRPr="009D3F3C">
        <w:rPr>
          <w:rFonts w:ascii="Times New Roman" w:eastAsia="Times New Roman" w:hAnsi="Times New Roman" w:cs="Times New Roman"/>
          <w:sz w:val="24"/>
          <w:szCs w:val="24"/>
        </w:rPr>
        <w:t>Messrs</w:t>
      </w:r>
      <w:proofErr w:type="spellEnd"/>
      <w:r w:rsidRPr="009D3F3C">
        <w:rPr>
          <w:rFonts w:ascii="Times New Roman" w:eastAsia="Times New Roman" w:hAnsi="Times New Roman" w:cs="Times New Roman"/>
          <w:sz w:val="24"/>
          <w:szCs w:val="24"/>
        </w:rPr>
        <w:t xml:space="preserve"> </w:t>
      </w:r>
      <w:proofErr w:type="spellStart"/>
      <w:r w:rsidRPr="009D3F3C">
        <w:rPr>
          <w:rFonts w:ascii="Times New Roman" w:eastAsia="Times New Roman" w:hAnsi="Times New Roman" w:cs="Times New Roman"/>
          <w:sz w:val="24"/>
          <w:szCs w:val="24"/>
        </w:rPr>
        <w:t>Dobinson</w:t>
      </w:r>
      <w:proofErr w:type="spellEnd"/>
      <w:r w:rsidRPr="009D3F3C">
        <w:rPr>
          <w:rFonts w:ascii="Times New Roman" w:eastAsia="Times New Roman" w:hAnsi="Times New Roman" w:cs="Times New Roman"/>
          <w:sz w:val="24"/>
          <w:szCs w:val="24"/>
        </w:rPr>
        <w:t xml:space="preserve"> and </w:t>
      </w:r>
      <w:proofErr w:type="spellStart"/>
      <w:r w:rsidRPr="009D3F3C">
        <w:rPr>
          <w:rFonts w:ascii="Times New Roman" w:eastAsia="Times New Roman" w:hAnsi="Times New Roman" w:cs="Times New Roman"/>
          <w:sz w:val="24"/>
          <w:szCs w:val="24"/>
        </w:rPr>
        <w:t>Rowlands</w:t>
      </w:r>
      <w:proofErr w:type="spellEnd"/>
      <w:r w:rsidRPr="009D3F3C">
        <w:rPr>
          <w:rFonts w:ascii="Times New Roman" w:eastAsia="Times New Roman" w:hAnsi="Times New Roman" w:cs="Times New Roman"/>
          <w:sz w:val="24"/>
          <w:szCs w:val="24"/>
        </w:rPr>
        <w:t xml:space="preserve"> makes it clear that this is so.</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Thus, in my view, the case does not fall within paragraph (a).</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4. I then pass to consider whether the easement has been abandoned either under the general law or under </w:t>
      </w:r>
      <w:hyperlink r:id="rId60" w:history="1">
        <w:r w:rsidRPr="009D3F3C">
          <w:rPr>
            <w:rFonts w:ascii="Times New Roman" w:eastAsia="Times New Roman" w:hAnsi="Times New Roman" w:cs="Times New Roman"/>
            <w:color w:val="0000FF"/>
            <w:sz w:val="24"/>
            <w:szCs w:val="24"/>
            <w:u w:val="single"/>
          </w:rPr>
          <w:t>s 89(1</w:t>
        </w:r>
        <w:proofErr w:type="gramStart"/>
        <w:r w:rsidRPr="009D3F3C">
          <w:rPr>
            <w:rFonts w:ascii="Times New Roman" w:eastAsia="Times New Roman" w:hAnsi="Times New Roman" w:cs="Times New Roman"/>
            <w:color w:val="0000FF"/>
            <w:sz w:val="24"/>
            <w:szCs w:val="24"/>
            <w:u w:val="single"/>
          </w:rPr>
          <w:t>)(</w:t>
        </w:r>
        <w:proofErr w:type="gramEnd"/>
        <w:r w:rsidRPr="009D3F3C">
          <w:rPr>
            <w:rFonts w:ascii="Times New Roman" w:eastAsia="Times New Roman" w:hAnsi="Times New Roman" w:cs="Times New Roman"/>
            <w:color w:val="0000FF"/>
            <w:sz w:val="24"/>
            <w:szCs w:val="24"/>
            <w:u w:val="single"/>
          </w:rPr>
          <w:t>b)</w:t>
        </w:r>
      </w:hyperlink>
      <w:r w:rsidRPr="009D3F3C">
        <w:rPr>
          <w:rFonts w:ascii="Times New Roman" w:eastAsia="Times New Roman" w:hAnsi="Times New Roman" w:cs="Times New Roman"/>
          <w:sz w:val="24"/>
          <w:szCs w:val="24"/>
        </w:rPr>
        <w:t xml:space="preserve"> of the </w:t>
      </w:r>
      <w:hyperlink r:id="rId61" w:history="1">
        <w:r w:rsidRPr="009D3F3C">
          <w:rPr>
            <w:rFonts w:ascii="Times New Roman" w:eastAsia="Times New Roman" w:hAnsi="Times New Roman" w:cs="Times New Roman"/>
            <w:color w:val="0000FF"/>
            <w:sz w:val="24"/>
            <w:szCs w:val="24"/>
            <w:u w:val="single"/>
          </w:rPr>
          <w:t>Conveyancing Act 1919</w:t>
        </w:r>
      </w:hyperlink>
      <w:r w:rsidRPr="009D3F3C">
        <w:rPr>
          <w:rFonts w:ascii="Times New Roman" w:eastAsia="Times New Roman" w:hAnsi="Times New Roman" w:cs="Times New Roman"/>
          <w:sz w:val="24"/>
          <w:szCs w:val="24"/>
        </w:rPr>
        <w: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Abandonment is a strange conception in the common law, but to the canon lawyers it was commonplace. It is found, for instance in the principle of desuetude whereby a law is null and void by non-use in circumstances where the law maker's non-enforcement of it for a long period shows that the law maker impliedly repealed it.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Both counsel recognized that an easement may be lost by abandonment. They also recognized that mere non-user of an easement will not, of itself, constitute abandonment, see Gale on </w:t>
      </w:r>
      <w:r w:rsidRPr="009D3F3C">
        <w:rPr>
          <w:rFonts w:ascii="Times New Roman" w:eastAsia="Times New Roman" w:hAnsi="Times New Roman" w:cs="Times New Roman"/>
          <w:b/>
          <w:bCs/>
          <w:sz w:val="24"/>
          <w:szCs w:val="24"/>
        </w:rPr>
        <w:t>Easements</w:t>
      </w:r>
      <w:r w:rsidRPr="009D3F3C">
        <w:rPr>
          <w:rFonts w:ascii="Times New Roman" w:eastAsia="Times New Roman" w:hAnsi="Times New Roman" w:cs="Times New Roman"/>
          <w:sz w:val="24"/>
          <w:szCs w:val="24"/>
        </w:rPr>
        <w:t xml:space="preserve"> 16</w:t>
      </w:r>
      <w:r w:rsidRPr="009D3F3C">
        <w:rPr>
          <w:rFonts w:ascii="Times New Roman" w:eastAsia="Times New Roman" w:hAnsi="Times New Roman" w:cs="Times New Roman"/>
          <w:sz w:val="24"/>
          <w:szCs w:val="24"/>
          <w:vertAlign w:val="superscript"/>
        </w:rPr>
        <w:t>th</w:t>
      </w:r>
      <w:r w:rsidRPr="009D3F3C">
        <w:rPr>
          <w:rFonts w:ascii="Times New Roman" w:eastAsia="Times New Roman" w:hAnsi="Times New Roman" w:cs="Times New Roman"/>
          <w:sz w:val="24"/>
          <w:szCs w:val="24"/>
        </w:rPr>
        <w:t xml:space="preserve"> Ed at page 448. In order to constitute abandonment, the conduct of the owner of the dominant tenement must demonstrate a fixed intention that neither it nor any successor in title will make use of the easement: </w:t>
      </w:r>
      <w:proofErr w:type="spellStart"/>
      <w:r w:rsidRPr="009D3F3C">
        <w:rPr>
          <w:rFonts w:ascii="Times New Roman" w:eastAsia="Times New Roman" w:hAnsi="Times New Roman" w:cs="Times New Roman"/>
          <w:b/>
          <w:bCs/>
          <w:sz w:val="24"/>
          <w:szCs w:val="24"/>
        </w:rPr>
        <w:t>Treweeke</w:t>
      </w:r>
      <w:proofErr w:type="spellEnd"/>
      <w:r w:rsidRPr="009D3F3C">
        <w:rPr>
          <w:rFonts w:ascii="Times New Roman" w:eastAsia="Times New Roman" w:hAnsi="Times New Roman" w:cs="Times New Roman"/>
          <w:b/>
          <w:bCs/>
          <w:sz w:val="24"/>
          <w:szCs w:val="24"/>
        </w:rPr>
        <w:t xml:space="preserve"> v 36 </w:t>
      </w:r>
      <w:proofErr w:type="spellStart"/>
      <w:r w:rsidRPr="009D3F3C">
        <w:rPr>
          <w:rFonts w:ascii="Times New Roman" w:eastAsia="Times New Roman" w:hAnsi="Times New Roman" w:cs="Times New Roman"/>
          <w:b/>
          <w:bCs/>
          <w:sz w:val="24"/>
          <w:szCs w:val="24"/>
        </w:rPr>
        <w:t>Wolseley</w:t>
      </w:r>
      <w:proofErr w:type="spellEnd"/>
      <w:r w:rsidRPr="009D3F3C">
        <w:rPr>
          <w:rFonts w:ascii="Times New Roman" w:eastAsia="Times New Roman" w:hAnsi="Times New Roman" w:cs="Times New Roman"/>
          <w:b/>
          <w:bCs/>
          <w:sz w:val="24"/>
          <w:szCs w:val="24"/>
        </w:rPr>
        <w:t xml:space="preserve"> Road Pty Limited </w:t>
      </w:r>
      <w:hyperlink r:id="rId62" w:tooltip="View Case" w:history="1">
        <w:r w:rsidRPr="009D3F3C">
          <w:rPr>
            <w:rFonts w:ascii="Times New Roman" w:eastAsia="Times New Roman" w:hAnsi="Times New Roman" w:cs="Times New Roman"/>
            <w:color w:val="0000FF"/>
            <w:sz w:val="24"/>
            <w:szCs w:val="24"/>
            <w:u w:val="single"/>
          </w:rPr>
          <w:t>[1973] HCA 27</w:t>
        </w:r>
      </w:hyperlink>
      <w:r w:rsidRPr="009D3F3C">
        <w:rPr>
          <w:rFonts w:ascii="Times New Roman" w:eastAsia="Times New Roman" w:hAnsi="Times New Roman" w:cs="Times New Roman"/>
          <w:sz w:val="24"/>
          <w:szCs w:val="24"/>
        </w:rPr>
        <w:t xml:space="preserve">; </w:t>
      </w:r>
      <w:hyperlink r:id="rId63" w:tooltip="View LawCiteRecord" w:history="1">
        <w:r w:rsidRPr="009D3F3C">
          <w:rPr>
            <w:rFonts w:ascii="Times New Roman" w:eastAsia="Times New Roman" w:hAnsi="Times New Roman" w:cs="Times New Roman"/>
            <w:color w:val="0000FF"/>
            <w:sz w:val="24"/>
            <w:szCs w:val="24"/>
            <w:u w:val="single"/>
          </w:rPr>
          <w:t>(1973) 128 CLR 274</w:t>
        </w:r>
      </w:hyperlink>
      <w:r w:rsidRPr="009D3F3C">
        <w:rPr>
          <w:rFonts w:ascii="Times New Roman" w:eastAsia="Times New Roman" w:hAnsi="Times New Roman" w:cs="Times New Roman"/>
          <w:sz w:val="24"/>
          <w:szCs w:val="24"/>
        </w:rPr>
        <w:t xml:space="preserve">; </w:t>
      </w:r>
      <w:r w:rsidRPr="009D3F3C">
        <w:rPr>
          <w:rFonts w:ascii="Times New Roman" w:eastAsia="Times New Roman" w:hAnsi="Times New Roman" w:cs="Times New Roman"/>
          <w:b/>
          <w:bCs/>
          <w:sz w:val="24"/>
          <w:szCs w:val="24"/>
        </w:rPr>
        <w:t>Proprietors of Strata Plan No 9968 v Proprietors of Strata Plan No 11173</w:t>
      </w:r>
      <w:r w:rsidRPr="009D3F3C">
        <w:rPr>
          <w:rFonts w:ascii="Times New Roman" w:eastAsia="Times New Roman" w:hAnsi="Times New Roman" w:cs="Times New Roman"/>
          <w:sz w:val="24"/>
          <w:szCs w:val="24"/>
        </w:rPr>
        <w:t xml:space="preserve"> </w:t>
      </w:r>
      <w:hyperlink r:id="rId64" w:tooltip="View LawCiteRecord" w:history="1">
        <w:r w:rsidRPr="009D3F3C">
          <w:rPr>
            <w:rFonts w:ascii="Times New Roman" w:eastAsia="Times New Roman" w:hAnsi="Times New Roman" w:cs="Times New Roman"/>
            <w:color w:val="0000FF"/>
            <w:sz w:val="24"/>
            <w:szCs w:val="24"/>
            <w:u w:val="single"/>
          </w:rPr>
          <w:t>[1979] 2 NSWLR 605</w:t>
        </w:r>
      </w:hyperlink>
      <w:r w:rsidRPr="009D3F3C">
        <w:rPr>
          <w:rFonts w:ascii="Times New Roman" w:eastAsia="Times New Roman" w:hAnsi="Times New Roman" w:cs="Times New Roman"/>
          <w:sz w:val="24"/>
          <w:szCs w:val="24"/>
        </w:rPr>
        <w:t xml:space="preserve">; </w:t>
      </w:r>
      <w:proofErr w:type="spellStart"/>
      <w:r w:rsidRPr="009D3F3C">
        <w:rPr>
          <w:rFonts w:ascii="Times New Roman" w:eastAsia="Times New Roman" w:hAnsi="Times New Roman" w:cs="Times New Roman"/>
          <w:b/>
          <w:bCs/>
          <w:sz w:val="24"/>
          <w:szCs w:val="24"/>
        </w:rPr>
        <w:t>Guth</w:t>
      </w:r>
      <w:proofErr w:type="spellEnd"/>
      <w:r w:rsidRPr="009D3F3C">
        <w:rPr>
          <w:rFonts w:ascii="Times New Roman" w:eastAsia="Times New Roman" w:hAnsi="Times New Roman" w:cs="Times New Roman"/>
          <w:b/>
          <w:bCs/>
          <w:sz w:val="24"/>
          <w:szCs w:val="24"/>
        </w:rPr>
        <w:t xml:space="preserve"> v Robinson </w:t>
      </w:r>
      <w:hyperlink r:id="rId65" w:tooltip="View LawCiteRecord" w:history="1">
        <w:r w:rsidRPr="009D3F3C">
          <w:rPr>
            <w:rFonts w:ascii="Times New Roman" w:eastAsia="Times New Roman" w:hAnsi="Times New Roman" w:cs="Times New Roman"/>
            <w:color w:val="0000FF"/>
            <w:sz w:val="24"/>
            <w:szCs w:val="24"/>
            <w:u w:val="single"/>
          </w:rPr>
          <w:t>(1972) 1 BPR 9209.</w:t>
        </w:r>
      </w:hyperlink>
      <w:r w:rsidRPr="009D3F3C">
        <w:rPr>
          <w:rFonts w:ascii="Times New Roman" w:eastAsia="Times New Roman" w:hAnsi="Times New Roman" w:cs="Times New Roman"/>
          <w:sz w:val="24"/>
          <w:szCs w:val="24"/>
        </w:rPr>
        <w:t xml:space="preserve"> The relevant intention must be ascertained as a matter of fact taking into account all the relevant circumstances: </w:t>
      </w:r>
      <w:r w:rsidRPr="009D3F3C">
        <w:rPr>
          <w:rFonts w:ascii="Times New Roman" w:eastAsia="Times New Roman" w:hAnsi="Times New Roman" w:cs="Times New Roman"/>
          <w:b/>
          <w:bCs/>
          <w:sz w:val="24"/>
          <w:szCs w:val="24"/>
        </w:rPr>
        <w:t xml:space="preserve">James v Stevenson </w:t>
      </w:r>
      <w:hyperlink r:id="rId66" w:tooltip="View LawCiteRecord" w:history="1">
        <w:r w:rsidRPr="009D3F3C">
          <w:rPr>
            <w:rFonts w:ascii="Times New Roman" w:eastAsia="Times New Roman" w:hAnsi="Times New Roman" w:cs="Times New Roman"/>
            <w:color w:val="0000FF"/>
            <w:sz w:val="24"/>
            <w:szCs w:val="24"/>
            <w:u w:val="single"/>
          </w:rPr>
          <w:t>[1893] AC 162.</w:t>
        </w:r>
      </w:hyperlink>
      <w:r w:rsidRPr="009D3F3C">
        <w:rPr>
          <w:rFonts w:ascii="Times New Roman" w:eastAsia="Times New Roman" w:hAnsi="Times New Roman" w:cs="Times New Roman"/>
          <w:sz w:val="24"/>
          <w:szCs w:val="24"/>
        </w:rPr>
        <w:t xml:space="preserve"> "Owner" in this connection includes the dominant owner's predecessors in title.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Mere non-user of an easement, even for a considerable period, does not of itself constitute abandonment:</w:t>
      </w:r>
      <w:r w:rsidRPr="009D3F3C">
        <w:rPr>
          <w:rFonts w:ascii="Times New Roman" w:eastAsia="Times New Roman" w:hAnsi="Times New Roman" w:cs="Times New Roman"/>
          <w:b/>
          <w:bCs/>
          <w:sz w:val="24"/>
          <w:szCs w:val="24"/>
        </w:rPr>
        <w:t xml:space="preserve"> Re Marriott</w:t>
      </w:r>
      <w:r w:rsidRPr="009D3F3C">
        <w:rPr>
          <w:rFonts w:ascii="Times New Roman" w:eastAsia="Times New Roman" w:hAnsi="Times New Roman" w:cs="Times New Roman"/>
          <w:sz w:val="24"/>
          <w:szCs w:val="24"/>
        </w:rPr>
        <w:t xml:space="preserve"> </w:t>
      </w:r>
      <w:hyperlink r:id="rId67" w:tooltip="View LawCiteRecord" w:history="1">
        <w:r w:rsidRPr="009D3F3C">
          <w:rPr>
            <w:rFonts w:ascii="Times New Roman" w:eastAsia="Times New Roman" w:hAnsi="Times New Roman" w:cs="Times New Roman"/>
            <w:color w:val="0000FF"/>
            <w:sz w:val="24"/>
            <w:szCs w:val="24"/>
            <w:u w:val="single"/>
          </w:rPr>
          <w:t>[1968] VR 260</w:t>
        </w:r>
      </w:hyperlink>
      <w:r w:rsidRPr="009D3F3C">
        <w:rPr>
          <w:rFonts w:ascii="Times New Roman" w:eastAsia="Times New Roman" w:hAnsi="Times New Roman" w:cs="Times New Roman"/>
          <w:sz w:val="24"/>
          <w:szCs w:val="24"/>
        </w:rPr>
        <w:t xml:space="preserve">, although it will be an important factor when taken into account with other evidence, including use of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which is inconsistent with the continuation of the easement.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Mr McDougall QC submits that there is strong evidence of abandonment in the instant case. First the easement has not been used since the defendant acquired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in early 1981. </w:t>
      </w:r>
      <w:r w:rsidRPr="009D3F3C">
        <w:rPr>
          <w:rFonts w:ascii="Times New Roman" w:eastAsia="Times New Roman" w:hAnsi="Times New Roman" w:cs="Times New Roman"/>
          <w:sz w:val="24"/>
          <w:szCs w:val="24"/>
        </w:rPr>
        <w:lastRenderedPageBreak/>
        <w:t>Secondly, it has been incapable of being used over most, if not all of that time for a number of reasons. Mr McDougall QC developed these reasons at some length; I will only note the principal reasons.</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First, there has existed, at least since the defendant acquired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a brick wall of approximately half a metre in height and 15 metres in length along the boundary between the dominant and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tenements and a wire fence along that same boundary commencing from the end of the brick fence and extending the full length of the boundary until it meets with the property known as 697 Gardeners Road, Mascot, obstructing access to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The brick wall was probably constructed well prior to 1981. However, it would appear to have at least one opening in it before 1981.</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Secondly, the wire dividing fence was replaced in the </w:t>
      </w:r>
      <w:proofErr w:type="spellStart"/>
      <w:r w:rsidRPr="009D3F3C">
        <w:rPr>
          <w:rFonts w:ascii="Times New Roman" w:eastAsia="Times New Roman" w:hAnsi="Times New Roman" w:cs="Times New Roman"/>
          <w:sz w:val="24"/>
          <w:szCs w:val="24"/>
        </w:rPr>
        <w:t>mid 1980s</w:t>
      </w:r>
      <w:proofErr w:type="spellEnd"/>
      <w:r w:rsidRPr="009D3F3C">
        <w:rPr>
          <w:rFonts w:ascii="Times New Roman" w:eastAsia="Times New Roman" w:hAnsi="Times New Roman" w:cs="Times New Roman"/>
          <w:sz w:val="24"/>
          <w:szCs w:val="24"/>
        </w:rPr>
        <w:t xml:space="preserve"> by the defendant with the permission of a manager employed by the occupier of the plaintiff's land. The defendant's witnesses recalled that the original fence contained double-gates that were at all times since the defendant purchased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secured by a padlock and chain. Those gates were not able to be opened as the bottom rail of the gates was embedded into the ground and covered with soil and debris. When the fence was replaced, double gates were not installed. The defendant received no comment or complaint following the installation of the replacement fence.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 plaintiff's witnesses, being retired </w:t>
      </w:r>
      <w:proofErr w:type="spellStart"/>
      <w:r w:rsidRPr="009D3F3C">
        <w:rPr>
          <w:rFonts w:ascii="Times New Roman" w:eastAsia="Times New Roman" w:hAnsi="Times New Roman" w:cs="Times New Roman"/>
          <w:sz w:val="24"/>
          <w:szCs w:val="24"/>
        </w:rPr>
        <w:t>Ansett</w:t>
      </w:r>
      <w:proofErr w:type="spellEnd"/>
      <w:r w:rsidRPr="009D3F3C">
        <w:rPr>
          <w:rFonts w:ascii="Times New Roman" w:eastAsia="Times New Roman" w:hAnsi="Times New Roman" w:cs="Times New Roman"/>
          <w:sz w:val="24"/>
          <w:szCs w:val="24"/>
        </w:rPr>
        <w:t xml:space="preserve"> employees or employees of TNT </w:t>
      </w:r>
      <w:proofErr w:type="spellStart"/>
      <w:r w:rsidRPr="009D3F3C">
        <w:rPr>
          <w:rFonts w:ascii="Times New Roman" w:eastAsia="Times New Roman" w:hAnsi="Times New Roman" w:cs="Times New Roman"/>
          <w:sz w:val="24"/>
          <w:szCs w:val="24"/>
        </w:rPr>
        <w:t>Seafast</w:t>
      </w:r>
      <w:proofErr w:type="spellEnd"/>
      <w:r w:rsidRPr="009D3F3C">
        <w:rPr>
          <w:rFonts w:ascii="Times New Roman" w:eastAsia="Times New Roman" w:hAnsi="Times New Roman" w:cs="Times New Roman"/>
          <w:sz w:val="24"/>
          <w:szCs w:val="24"/>
        </w:rPr>
        <w:t xml:space="preserve"> (a company in the </w:t>
      </w:r>
      <w:proofErr w:type="spellStart"/>
      <w:r w:rsidRPr="009D3F3C">
        <w:rPr>
          <w:rFonts w:ascii="Times New Roman" w:eastAsia="Times New Roman" w:hAnsi="Times New Roman" w:cs="Times New Roman"/>
          <w:sz w:val="24"/>
          <w:szCs w:val="24"/>
        </w:rPr>
        <w:t>Ansett</w:t>
      </w:r>
      <w:proofErr w:type="spellEnd"/>
      <w:r w:rsidRPr="009D3F3C">
        <w:rPr>
          <w:rFonts w:ascii="Times New Roman" w:eastAsia="Times New Roman" w:hAnsi="Times New Roman" w:cs="Times New Roman"/>
          <w:sz w:val="24"/>
          <w:szCs w:val="24"/>
        </w:rPr>
        <w:t xml:space="preserve"> group which was the tenant of the plaintiff's land between about 1987 and 1991) do not agree. They remember that there was a disused driveway crossing between the two parcels and that the odd vehicle used the crossing. Although Mr McDougall QC criticized this evidence, I believe I should accept it. I consider that the contrary evidence by the defendant's people is coloured by what might be called a reverse application of the presumption of continuance. They remember well what was there after 1987, and have projected that recollection back too far.</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Thirdly, the elevation of the dominant tenement has, at least since 1981, been approximately 70 </w:t>
      </w:r>
      <w:proofErr w:type="spellStart"/>
      <w:r w:rsidRPr="009D3F3C">
        <w:rPr>
          <w:rFonts w:ascii="Times New Roman" w:eastAsia="Times New Roman" w:hAnsi="Times New Roman" w:cs="Times New Roman"/>
          <w:sz w:val="24"/>
          <w:szCs w:val="24"/>
        </w:rPr>
        <w:t>centimetres</w:t>
      </w:r>
      <w:proofErr w:type="spellEnd"/>
      <w:r w:rsidRPr="009D3F3C">
        <w:rPr>
          <w:rFonts w:ascii="Times New Roman" w:eastAsia="Times New Roman" w:hAnsi="Times New Roman" w:cs="Times New Roman"/>
          <w:sz w:val="24"/>
          <w:szCs w:val="24"/>
        </w:rPr>
        <w:t xml:space="preserve"> higher than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Fourthly, up until the plaintiff acquired its land, there was a row of established trees and shrubs which had grown on the defendant's side of the boundary and had been undisturbed for about 20 years.</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Fifthly, the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 has been used exclusively by the defendant since 1981 as a parking lot without protest.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Sixthly, the traffic authorities' </w:t>
      </w:r>
      <w:proofErr w:type="gramStart"/>
      <w:r w:rsidRPr="009D3F3C">
        <w:rPr>
          <w:rFonts w:ascii="Times New Roman" w:eastAsia="Times New Roman" w:hAnsi="Times New Roman" w:cs="Times New Roman"/>
          <w:sz w:val="24"/>
          <w:szCs w:val="24"/>
        </w:rPr>
        <w:t xml:space="preserve">restrictions on access to </w:t>
      </w:r>
      <w:proofErr w:type="spellStart"/>
      <w:r w:rsidRPr="009D3F3C">
        <w:rPr>
          <w:rFonts w:ascii="Times New Roman" w:eastAsia="Times New Roman" w:hAnsi="Times New Roman" w:cs="Times New Roman"/>
          <w:sz w:val="24"/>
          <w:szCs w:val="24"/>
        </w:rPr>
        <w:t>Ricketty</w:t>
      </w:r>
      <w:proofErr w:type="spellEnd"/>
      <w:r w:rsidRPr="009D3F3C">
        <w:rPr>
          <w:rFonts w:ascii="Times New Roman" w:eastAsia="Times New Roman" w:hAnsi="Times New Roman" w:cs="Times New Roman"/>
          <w:sz w:val="24"/>
          <w:szCs w:val="24"/>
        </w:rPr>
        <w:t xml:space="preserve"> Street has</w:t>
      </w:r>
      <w:proofErr w:type="gramEnd"/>
      <w:r w:rsidRPr="009D3F3C">
        <w:rPr>
          <w:rFonts w:ascii="Times New Roman" w:eastAsia="Times New Roman" w:hAnsi="Times New Roman" w:cs="Times New Roman"/>
          <w:sz w:val="24"/>
          <w:szCs w:val="24"/>
        </w:rPr>
        <w:t xml:space="preserve"> meant that it was difficult to use the right of way lawfully.</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In addition, there was evidence given by employees and former employees as to their memory of the use of the right of way and the parcels of land in the 1970s. As would be expected, their accounts did not tally, and, again as one would expect, their memories were by now so fixed that they could not be shaken. I am sure that each of these gentlemen intended to tell the truth, the </w:t>
      </w:r>
      <w:r w:rsidRPr="009D3F3C">
        <w:rPr>
          <w:rFonts w:ascii="Times New Roman" w:eastAsia="Times New Roman" w:hAnsi="Times New Roman" w:cs="Times New Roman"/>
          <w:sz w:val="24"/>
          <w:szCs w:val="24"/>
        </w:rPr>
        <w:lastRenderedPageBreak/>
        <w:t>whole truth and nothing but the truth, but they cannot all be correct. There is little purpose in evaluating this evidence, but, for the reasons already given, I tend to favour the evidence of the plaintiff's witnesses. Access via the right of way continued, on any view of the evidence, until 1981. What happened after then is fairly clear, so what happened before that is of little moment.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However, the evidence on post 1981 non-user is not as strong as the defendant would have it. DX1103 is an aerial photograph from 1982 which appears to me to show access points from the right of way to the dominant tenement in both the car park and the depot areas. The photograph also does not show vegetation along the rear section of the boundary between the dominant and </w:t>
      </w:r>
      <w:proofErr w:type="spellStart"/>
      <w:r w:rsidRPr="009D3F3C">
        <w:rPr>
          <w:rFonts w:ascii="Times New Roman" w:eastAsia="Times New Roman" w:hAnsi="Times New Roman" w:cs="Times New Roman"/>
          <w:sz w:val="24"/>
          <w:szCs w:val="24"/>
        </w:rPr>
        <w:t>servient</w:t>
      </w:r>
      <w:proofErr w:type="spellEnd"/>
      <w:r w:rsidRPr="009D3F3C">
        <w:rPr>
          <w:rFonts w:ascii="Times New Roman" w:eastAsia="Times New Roman" w:hAnsi="Times New Roman" w:cs="Times New Roman"/>
          <w:sz w:val="24"/>
          <w:szCs w:val="24"/>
        </w:rPr>
        <w:t xml:space="preserve"> tenements.</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Further, the lease to Sydney Electricity dated 1 March 1995, Exhibit PX28, evidences an appreciation on the part of the defendant of the continuing existence of the easement. Again, the traffic impact report obtained by the defendant in June 1994 casts doubt as to whether the suggestion that the right of way was not in use is correct.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Both sides rely on the fact that the other acted with its eyes open. Mr Donaldson points out that the defendant purchased a property whose title was clearly encumbered by the right of way. Any landscaping or other works were done with this knowledge. Mr McDougall QC argues that the survey report prepared by </w:t>
      </w:r>
      <w:proofErr w:type="spellStart"/>
      <w:r w:rsidRPr="009D3F3C">
        <w:rPr>
          <w:rFonts w:ascii="Times New Roman" w:eastAsia="Times New Roman" w:hAnsi="Times New Roman" w:cs="Times New Roman"/>
          <w:sz w:val="24"/>
          <w:szCs w:val="24"/>
        </w:rPr>
        <w:t>Whelans</w:t>
      </w:r>
      <w:proofErr w:type="spellEnd"/>
      <w:r w:rsidRPr="009D3F3C">
        <w:rPr>
          <w:rFonts w:ascii="Times New Roman" w:eastAsia="Times New Roman" w:hAnsi="Times New Roman" w:cs="Times New Roman"/>
          <w:sz w:val="24"/>
          <w:szCs w:val="24"/>
        </w:rPr>
        <w:t xml:space="preserve"> Australia Pty Ltd dated 8 September 1997 for the immediate previous owner of the dominant tenement and annexed to the property report prepared by Jones Lang </w:t>
      </w:r>
      <w:proofErr w:type="spellStart"/>
      <w:r w:rsidRPr="009D3F3C">
        <w:rPr>
          <w:rFonts w:ascii="Times New Roman" w:eastAsia="Times New Roman" w:hAnsi="Times New Roman" w:cs="Times New Roman"/>
          <w:sz w:val="24"/>
          <w:szCs w:val="24"/>
        </w:rPr>
        <w:t>Wootton</w:t>
      </w:r>
      <w:proofErr w:type="spellEnd"/>
      <w:r w:rsidRPr="009D3F3C">
        <w:rPr>
          <w:rFonts w:ascii="Times New Roman" w:eastAsia="Times New Roman" w:hAnsi="Times New Roman" w:cs="Times New Roman"/>
          <w:sz w:val="24"/>
          <w:szCs w:val="24"/>
        </w:rPr>
        <w:t xml:space="preserve"> in September 1997, DX1157 at 1171 states that "The site of the Right of Way does not appear in use by the subject land and is used in part by the adjoining land as a parking area and accessway." The plaintiff purchased the property in that knowledge. Both matters are to be taken into consideration.</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As Mr Donaldson points out, the defendant places substantial weight in the non-user by the tenant TNT </w:t>
      </w:r>
      <w:proofErr w:type="spellStart"/>
      <w:r w:rsidRPr="009D3F3C">
        <w:rPr>
          <w:rFonts w:ascii="Times New Roman" w:eastAsia="Times New Roman" w:hAnsi="Times New Roman" w:cs="Times New Roman"/>
          <w:sz w:val="24"/>
          <w:szCs w:val="24"/>
        </w:rPr>
        <w:t>Seafast</w:t>
      </w:r>
      <w:proofErr w:type="spellEnd"/>
      <w:r w:rsidRPr="009D3F3C">
        <w:rPr>
          <w:rFonts w:ascii="Times New Roman" w:eastAsia="Times New Roman" w:hAnsi="Times New Roman" w:cs="Times New Roman"/>
          <w:sz w:val="24"/>
          <w:szCs w:val="24"/>
        </w:rPr>
        <w:t xml:space="preserve">. Generally speaking, non-action on the part of a tenant does not go to the intention of the owner of the land to abandon an easement unless there is evidence to show acquiescence by the owner: see </w:t>
      </w:r>
      <w:r w:rsidRPr="009D3F3C">
        <w:rPr>
          <w:rFonts w:ascii="Times New Roman" w:eastAsia="Times New Roman" w:hAnsi="Times New Roman" w:cs="Times New Roman"/>
          <w:b/>
          <w:bCs/>
          <w:sz w:val="24"/>
          <w:szCs w:val="24"/>
        </w:rPr>
        <w:t xml:space="preserve">Davis v Morgan </w:t>
      </w:r>
      <w:hyperlink r:id="rId68" w:tooltip="View Case" w:history="1">
        <w:r w:rsidRPr="009D3F3C">
          <w:rPr>
            <w:rFonts w:ascii="Times New Roman" w:eastAsia="Times New Roman" w:hAnsi="Times New Roman" w:cs="Times New Roman"/>
            <w:color w:val="0000FF"/>
            <w:sz w:val="24"/>
            <w:szCs w:val="24"/>
            <w:u w:val="single"/>
          </w:rPr>
          <w:t xml:space="preserve">[1825] </w:t>
        </w:r>
        <w:proofErr w:type="spellStart"/>
        <w:r w:rsidRPr="009D3F3C">
          <w:rPr>
            <w:rFonts w:ascii="Times New Roman" w:eastAsia="Times New Roman" w:hAnsi="Times New Roman" w:cs="Times New Roman"/>
            <w:color w:val="0000FF"/>
            <w:sz w:val="24"/>
            <w:szCs w:val="24"/>
            <w:u w:val="single"/>
          </w:rPr>
          <w:t>EngR</w:t>
        </w:r>
        <w:proofErr w:type="spellEnd"/>
        <w:r w:rsidRPr="009D3F3C">
          <w:rPr>
            <w:rFonts w:ascii="Times New Roman" w:eastAsia="Times New Roman" w:hAnsi="Times New Roman" w:cs="Times New Roman"/>
            <w:color w:val="0000FF"/>
            <w:sz w:val="24"/>
            <w:szCs w:val="24"/>
            <w:u w:val="single"/>
          </w:rPr>
          <w:t xml:space="preserve"> 507</w:t>
        </w:r>
      </w:hyperlink>
      <w:r w:rsidRPr="009D3F3C">
        <w:rPr>
          <w:rFonts w:ascii="Times New Roman" w:eastAsia="Times New Roman" w:hAnsi="Times New Roman" w:cs="Times New Roman"/>
          <w:sz w:val="24"/>
          <w:szCs w:val="24"/>
        </w:rPr>
        <w:t xml:space="preserve">; </w:t>
      </w:r>
      <w:hyperlink r:id="rId69" w:tooltip="View LawCiteRecord" w:history="1">
        <w:r w:rsidRPr="009D3F3C">
          <w:rPr>
            <w:rFonts w:ascii="Times New Roman" w:eastAsia="Times New Roman" w:hAnsi="Times New Roman" w:cs="Times New Roman"/>
            <w:color w:val="0000FF"/>
            <w:sz w:val="24"/>
            <w:szCs w:val="24"/>
            <w:u w:val="single"/>
          </w:rPr>
          <w:t>(1825) 4 B &amp; C 8</w:t>
        </w:r>
      </w:hyperlink>
      <w:r w:rsidRPr="009D3F3C">
        <w:rPr>
          <w:rFonts w:ascii="Times New Roman" w:eastAsia="Times New Roman" w:hAnsi="Times New Roman" w:cs="Times New Roman"/>
          <w:sz w:val="24"/>
          <w:szCs w:val="24"/>
        </w:rPr>
        <w:t xml:space="preserve">; </w:t>
      </w:r>
      <w:hyperlink r:id="rId70" w:tooltip="View LawCiteRecord" w:history="1">
        <w:r w:rsidRPr="009D3F3C">
          <w:rPr>
            <w:rFonts w:ascii="Times New Roman" w:eastAsia="Times New Roman" w:hAnsi="Times New Roman" w:cs="Times New Roman"/>
            <w:color w:val="0000FF"/>
            <w:sz w:val="24"/>
            <w:szCs w:val="24"/>
            <w:u w:val="single"/>
          </w:rPr>
          <w:t>107 ER 962</w:t>
        </w:r>
      </w:hyperlink>
      <w:r w:rsidRPr="009D3F3C">
        <w:rPr>
          <w:rFonts w:ascii="Times New Roman" w:eastAsia="Times New Roman" w:hAnsi="Times New Roman" w:cs="Times New Roman"/>
          <w:sz w:val="24"/>
          <w:szCs w:val="24"/>
        </w:rPr>
        <w:t xml:space="preserve">; Butt </w:t>
      </w:r>
      <w:hyperlink r:id="rId71" w:tooltip="View LawCiteRecord" w:history="1">
        <w:r w:rsidRPr="009D3F3C">
          <w:rPr>
            <w:rFonts w:ascii="Times New Roman" w:eastAsia="Times New Roman" w:hAnsi="Times New Roman" w:cs="Times New Roman"/>
            <w:color w:val="0000FF"/>
            <w:sz w:val="24"/>
            <w:szCs w:val="24"/>
            <w:u w:val="single"/>
          </w:rPr>
          <w:t>(1979) 53 ALJ 661</w:t>
        </w:r>
      </w:hyperlink>
      <w:r w:rsidRPr="009D3F3C">
        <w:rPr>
          <w:rFonts w:ascii="Times New Roman" w:eastAsia="Times New Roman" w:hAnsi="Times New Roman" w:cs="Times New Roman"/>
          <w:sz w:val="24"/>
          <w:szCs w:val="24"/>
        </w:rPr>
        <w:t xml:space="preserve">, 663-4 and Bradbrook &amp; </w:t>
      </w:r>
      <w:proofErr w:type="spellStart"/>
      <w:r w:rsidRPr="009D3F3C">
        <w:rPr>
          <w:rFonts w:ascii="Times New Roman" w:eastAsia="Times New Roman" w:hAnsi="Times New Roman" w:cs="Times New Roman"/>
          <w:sz w:val="24"/>
          <w:szCs w:val="24"/>
        </w:rPr>
        <w:t>Neave</w:t>
      </w:r>
      <w:proofErr w:type="spellEnd"/>
      <w:r w:rsidRPr="009D3F3C">
        <w:rPr>
          <w:rFonts w:ascii="Times New Roman" w:eastAsia="Times New Roman" w:hAnsi="Times New Roman" w:cs="Times New Roman"/>
          <w:sz w:val="24"/>
          <w:szCs w:val="24"/>
        </w:rPr>
        <w:t xml:space="preserve">, </w:t>
      </w:r>
      <w:r w:rsidRPr="009D3F3C">
        <w:rPr>
          <w:rFonts w:ascii="Times New Roman" w:eastAsia="Times New Roman" w:hAnsi="Times New Roman" w:cs="Times New Roman"/>
          <w:b/>
          <w:bCs/>
          <w:sz w:val="24"/>
          <w:szCs w:val="24"/>
        </w:rPr>
        <w:t>Easements and Restrictive</w:t>
      </w:r>
      <w:r w:rsidRPr="009D3F3C">
        <w:rPr>
          <w:rFonts w:ascii="Times New Roman" w:eastAsia="Times New Roman" w:hAnsi="Times New Roman" w:cs="Times New Roman"/>
          <w:sz w:val="24"/>
          <w:szCs w:val="24"/>
        </w:rPr>
        <w:t xml:space="preserve"> </w:t>
      </w:r>
      <w:r w:rsidRPr="009D3F3C">
        <w:rPr>
          <w:rFonts w:ascii="Times New Roman" w:eastAsia="Times New Roman" w:hAnsi="Times New Roman" w:cs="Times New Roman"/>
          <w:b/>
          <w:bCs/>
          <w:sz w:val="24"/>
          <w:szCs w:val="24"/>
        </w:rPr>
        <w:t>Covenants in Australia</w:t>
      </w:r>
      <w:r w:rsidRPr="009D3F3C">
        <w:rPr>
          <w:rFonts w:ascii="Times New Roman" w:eastAsia="Times New Roman" w:hAnsi="Times New Roman" w:cs="Times New Roman"/>
          <w:sz w:val="24"/>
          <w:szCs w:val="24"/>
        </w:rPr>
        <w:t xml:space="preserve"> (Butterworths, Sydney, 1981) para [1914]. It is probably correct to say that one might find acquiescence more readily where the tenant is a subsidiary company to the owner, but that is as far as the relationship of the parties is relevant.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There is no evidence as to the acquiescence of </w:t>
      </w:r>
      <w:proofErr w:type="spellStart"/>
      <w:r w:rsidRPr="009D3F3C">
        <w:rPr>
          <w:rFonts w:ascii="Times New Roman" w:eastAsia="Times New Roman" w:hAnsi="Times New Roman" w:cs="Times New Roman"/>
          <w:sz w:val="24"/>
          <w:szCs w:val="24"/>
        </w:rPr>
        <w:t>Ansett</w:t>
      </w:r>
      <w:proofErr w:type="spellEnd"/>
      <w:r w:rsidRPr="009D3F3C">
        <w:rPr>
          <w:rFonts w:ascii="Times New Roman" w:eastAsia="Times New Roman" w:hAnsi="Times New Roman" w:cs="Times New Roman"/>
          <w:sz w:val="24"/>
          <w:szCs w:val="24"/>
        </w:rPr>
        <w:t xml:space="preserve"> in the non-user of its tenant.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Furthermore, the land appears to have been unoccupied since TNT left in 1991. Non-occupation or demolition of buildings is again not necessarily a reason for inferring abandonment, even in the case of Ancient Lights, see </w:t>
      </w:r>
      <w:proofErr w:type="spellStart"/>
      <w:r w:rsidRPr="009D3F3C">
        <w:rPr>
          <w:rFonts w:ascii="Times New Roman" w:eastAsia="Times New Roman" w:hAnsi="Times New Roman" w:cs="Times New Roman"/>
          <w:b/>
          <w:bCs/>
          <w:sz w:val="24"/>
          <w:szCs w:val="24"/>
        </w:rPr>
        <w:t>Tapling</w:t>
      </w:r>
      <w:proofErr w:type="spellEnd"/>
      <w:r w:rsidRPr="009D3F3C">
        <w:rPr>
          <w:rFonts w:ascii="Times New Roman" w:eastAsia="Times New Roman" w:hAnsi="Times New Roman" w:cs="Times New Roman"/>
          <w:b/>
          <w:bCs/>
          <w:sz w:val="24"/>
          <w:szCs w:val="24"/>
        </w:rPr>
        <w:t xml:space="preserve"> v Jones </w:t>
      </w:r>
      <w:hyperlink r:id="rId72" w:tooltip="View Case" w:history="1">
        <w:r w:rsidRPr="009D3F3C">
          <w:rPr>
            <w:rFonts w:ascii="Times New Roman" w:eastAsia="Times New Roman" w:hAnsi="Times New Roman" w:cs="Times New Roman"/>
            <w:color w:val="0000FF"/>
            <w:sz w:val="24"/>
            <w:szCs w:val="24"/>
            <w:u w:val="single"/>
          </w:rPr>
          <w:t xml:space="preserve">[1865] </w:t>
        </w:r>
        <w:proofErr w:type="spellStart"/>
        <w:r w:rsidRPr="009D3F3C">
          <w:rPr>
            <w:rFonts w:ascii="Times New Roman" w:eastAsia="Times New Roman" w:hAnsi="Times New Roman" w:cs="Times New Roman"/>
            <w:color w:val="0000FF"/>
            <w:sz w:val="24"/>
            <w:szCs w:val="24"/>
            <w:u w:val="single"/>
          </w:rPr>
          <w:t>EngR</w:t>
        </w:r>
        <w:proofErr w:type="spellEnd"/>
        <w:r w:rsidRPr="009D3F3C">
          <w:rPr>
            <w:rFonts w:ascii="Times New Roman" w:eastAsia="Times New Roman" w:hAnsi="Times New Roman" w:cs="Times New Roman"/>
            <w:color w:val="0000FF"/>
            <w:sz w:val="24"/>
            <w:szCs w:val="24"/>
            <w:u w:val="single"/>
          </w:rPr>
          <w:t xml:space="preserve"> 333</w:t>
        </w:r>
      </w:hyperlink>
      <w:r w:rsidRPr="009D3F3C">
        <w:rPr>
          <w:rFonts w:ascii="Times New Roman" w:eastAsia="Times New Roman" w:hAnsi="Times New Roman" w:cs="Times New Roman"/>
          <w:sz w:val="24"/>
          <w:szCs w:val="24"/>
        </w:rPr>
        <w:t xml:space="preserve">; </w:t>
      </w:r>
      <w:hyperlink r:id="rId73" w:tooltip="View LawCiteRecord" w:history="1">
        <w:r w:rsidRPr="009D3F3C">
          <w:rPr>
            <w:rFonts w:ascii="Times New Roman" w:eastAsia="Times New Roman" w:hAnsi="Times New Roman" w:cs="Times New Roman"/>
            <w:color w:val="0000FF"/>
            <w:sz w:val="24"/>
            <w:szCs w:val="24"/>
            <w:u w:val="single"/>
          </w:rPr>
          <w:t>(1865) 11 HLC 290</w:t>
        </w:r>
      </w:hyperlink>
      <w:r w:rsidRPr="009D3F3C">
        <w:rPr>
          <w:rFonts w:ascii="Times New Roman" w:eastAsia="Times New Roman" w:hAnsi="Times New Roman" w:cs="Times New Roman"/>
          <w:sz w:val="24"/>
          <w:szCs w:val="24"/>
        </w:rPr>
        <w:t xml:space="preserve">; </w:t>
      </w:r>
      <w:hyperlink r:id="rId74" w:tooltip="View LawCiteRecord" w:history="1">
        <w:r w:rsidRPr="009D3F3C">
          <w:rPr>
            <w:rFonts w:ascii="Times New Roman" w:eastAsia="Times New Roman" w:hAnsi="Times New Roman" w:cs="Times New Roman"/>
            <w:color w:val="0000FF"/>
            <w:sz w:val="24"/>
            <w:szCs w:val="24"/>
            <w:u w:val="single"/>
          </w:rPr>
          <w:t>11 ER 1344</w:t>
        </w:r>
      </w:hyperlink>
      <w:r w:rsidRPr="009D3F3C">
        <w:rPr>
          <w:rFonts w:ascii="Times New Roman" w:eastAsia="Times New Roman" w:hAnsi="Times New Roman" w:cs="Times New Roman"/>
          <w:sz w:val="24"/>
          <w:szCs w:val="24"/>
        </w:rPr>
        <w:t xml:space="preserve">; </w:t>
      </w:r>
      <w:proofErr w:type="spellStart"/>
      <w:r w:rsidRPr="009D3F3C">
        <w:rPr>
          <w:rFonts w:ascii="Times New Roman" w:eastAsia="Times New Roman" w:hAnsi="Times New Roman" w:cs="Times New Roman"/>
          <w:b/>
          <w:bCs/>
          <w:sz w:val="24"/>
          <w:szCs w:val="24"/>
        </w:rPr>
        <w:t>Staight</w:t>
      </w:r>
      <w:proofErr w:type="spellEnd"/>
      <w:r w:rsidRPr="009D3F3C">
        <w:rPr>
          <w:rFonts w:ascii="Times New Roman" w:eastAsia="Times New Roman" w:hAnsi="Times New Roman" w:cs="Times New Roman"/>
          <w:b/>
          <w:bCs/>
          <w:sz w:val="24"/>
          <w:szCs w:val="24"/>
        </w:rPr>
        <w:t xml:space="preserve"> v Burn </w:t>
      </w:r>
      <w:hyperlink r:id="rId75" w:tooltip="View LawCiteRecord" w:history="1">
        <w:r w:rsidRPr="009D3F3C">
          <w:rPr>
            <w:rFonts w:ascii="Times New Roman" w:eastAsia="Times New Roman" w:hAnsi="Times New Roman" w:cs="Times New Roman"/>
            <w:color w:val="0000FF"/>
            <w:sz w:val="24"/>
            <w:szCs w:val="24"/>
            <w:u w:val="single"/>
          </w:rPr>
          <w:t>(1869) LR 5 Ch App 163.</w:t>
        </w:r>
      </w:hyperlink>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 defendant strongly relies on the evidence that the traffic authorities did not permit the access to </w:t>
      </w:r>
      <w:proofErr w:type="spellStart"/>
      <w:r w:rsidRPr="009D3F3C">
        <w:rPr>
          <w:rFonts w:ascii="Times New Roman" w:eastAsia="Times New Roman" w:hAnsi="Times New Roman" w:cs="Times New Roman"/>
          <w:sz w:val="24"/>
          <w:szCs w:val="24"/>
        </w:rPr>
        <w:t>Ricketty</w:t>
      </w:r>
      <w:proofErr w:type="spellEnd"/>
      <w:r w:rsidRPr="009D3F3C">
        <w:rPr>
          <w:rFonts w:ascii="Times New Roman" w:eastAsia="Times New Roman" w:hAnsi="Times New Roman" w:cs="Times New Roman"/>
          <w:sz w:val="24"/>
          <w:szCs w:val="24"/>
        </w:rPr>
        <w:t xml:space="preserve"> Street that was provided by the Deed of Grant. However, in my view this factor works against the defendant. Just as physical barriers to use which in fact have led to non-use are not conclusive (see </w:t>
      </w:r>
      <w:proofErr w:type="spellStart"/>
      <w:r w:rsidRPr="009D3F3C">
        <w:rPr>
          <w:rFonts w:ascii="Times New Roman" w:eastAsia="Times New Roman" w:hAnsi="Times New Roman" w:cs="Times New Roman"/>
          <w:b/>
          <w:bCs/>
          <w:sz w:val="24"/>
          <w:szCs w:val="24"/>
        </w:rPr>
        <w:t>Treweeke's</w:t>
      </w:r>
      <w:proofErr w:type="spellEnd"/>
      <w:r w:rsidRPr="009D3F3C">
        <w:rPr>
          <w:rFonts w:ascii="Times New Roman" w:eastAsia="Times New Roman" w:hAnsi="Times New Roman" w:cs="Times New Roman"/>
          <w:b/>
          <w:bCs/>
          <w:sz w:val="24"/>
          <w:szCs w:val="24"/>
        </w:rPr>
        <w:t xml:space="preserve"> case </w:t>
      </w:r>
      <w:r w:rsidRPr="009D3F3C">
        <w:rPr>
          <w:rFonts w:ascii="Times New Roman" w:eastAsia="Times New Roman" w:hAnsi="Times New Roman" w:cs="Times New Roman"/>
          <w:sz w:val="24"/>
          <w:szCs w:val="24"/>
        </w:rPr>
        <w:t>and</w:t>
      </w:r>
      <w:r w:rsidRPr="009D3F3C">
        <w:rPr>
          <w:rFonts w:ascii="Times New Roman" w:eastAsia="Times New Roman" w:hAnsi="Times New Roman" w:cs="Times New Roman"/>
          <w:b/>
          <w:bCs/>
          <w:sz w:val="24"/>
          <w:szCs w:val="24"/>
        </w:rPr>
        <w:t xml:space="preserve"> PSP 9968 v PSP 11173 </w:t>
      </w:r>
      <w:r w:rsidRPr="009D3F3C">
        <w:rPr>
          <w:rFonts w:ascii="Times New Roman" w:eastAsia="Times New Roman" w:hAnsi="Times New Roman" w:cs="Times New Roman"/>
          <w:sz w:val="24"/>
          <w:szCs w:val="24"/>
        </w:rPr>
        <w:t>both supra) so too a non-</w:t>
      </w:r>
      <w:r w:rsidRPr="009D3F3C">
        <w:rPr>
          <w:rFonts w:ascii="Times New Roman" w:eastAsia="Times New Roman" w:hAnsi="Times New Roman" w:cs="Times New Roman"/>
          <w:sz w:val="24"/>
          <w:szCs w:val="24"/>
        </w:rPr>
        <w:lastRenderedPageBreak/>
        <w:t>permanent legal barrier tends to be more a reason for non-use than evidence of an intention never to use the easement.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The defendant also uses the evidence of the plaintiff's proposals to develop its site in a new way with the easement being utilized for emergency vehicle purposes and to make the site more flexible in its use as showing an intention to abandon the original object of the easement which was for reasonable access to the highway. I am not impressed with this argument. However, as discussed under head 6, the easement is only for a limited purpose and any excess user could be restrained.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Abandonment is not to be lightly inferred </w:t>
      </w:r>
      <w:proofErr w:type="gramStart"/>
      <w:r w:rsidRPr="009D3F3C">
        <w:rPr>
          <w:rFonts w:ascii="Times New Roman" w:eastAsia="Times New Roman" w:hAnsi="Times New Roman" w:cs="Times New Roman"/>
          <w:sz w:val="24"/>
          <w:szCs w:val="24"/>
        </w:rPr>
        <w:t>The</w:t>
      </w:r>
      <w:proofErr w:type="gramEnd"/>
      <w:r w:rsidRPr="009D3F3C">
        <w:rPr>
          <w:rFonts w:ascii="Times New Roman" w:eastAsia="Times New Roman" w:hAnsi="Times New Roman" w:cs="Times New Roman"/>
          <w:sz w:val="24"/>
          <w:szCs w:val="24"/>
        </w:rPr>
        <w:t xml:space="preserve"> authorities show that there are at least two very good reasons for this rule. First, once abandoned, the easement is gone forever: </w:t>
      </w:r>
      <w:proofErr w:type="spellStart"/>
      <w:r w:rsidRPr="009D3F3C">
        <w:rPr>
          <w:rFonts w:ascii="Times New Roman" w:eastAsia="Times New Roman" w:hAnsi="Times New Roman" w:cs="Times New Roman"/>
          <w:b/>
          <w:bCs/>
          <w:sz w:val="24"/>
          <w:szCs w:val="24"/>
        </w:rPr>
        <w:t>Tapling</w:t>
      </w:r>
      <w:proofErr w:type="spellEnd"/>
      <w:r w:rsidRPr="009D3F3C">
        <w:rPr>
          <w:rFonts w:ascii="Times New Roman" w:eastAsia="Times New Roman" w:hAnsi="Times New Roman" w:cs="Times New Roman"/>
          <w:b/>
          <w:bCs/>
          <w:sz w:val="24"/>
          <w:szCs w:val="24"/>
        </w:rPr>
        <w:t xml:space="preserve"> v Jones </w:t>
      </w:r>
      <w:r w:rsidRPr="009D3F3C">
        <w:rPr>
          <w:rFonts w:ascii="Times New Roman" w:eastAsia="Times New Roman" w:hAnsi="Times New Roman" w:cs="Times New Roman"/>
          <w:sz w:val="24"/>
          <w:szCs w:val="24"/>
        </w:rPr>
        <w:t xml:space="preserve">(supra) at HLC </w:t>
      </w:r>
      <w:hyperlink r:id="rId76" w:tooltip="View LawCiteRecord" w:history="1">
        <w:r w:rsidRPr="009D3F3C">
          <w:rPr>
            <w:rFonts w:ascii="Times New Roman" w:eastAsia="Times New Roman" w:hAnsi="Times New Roman" w:cs="Times New Roman"/>
            <w:color w:val="0000FF"/>
            <w:sz w:val="24"/>
            <w:szCs w:val="24"/>
            <w:u w:val="single"/>
          </w:rPr>
          <w:t>319; ER 1356.</w:t>
        </w:r>
      </w:hyperlink>
      <w:r w:rsidRPr="009D3F3C">
        <w:rPr>
          <w:rFonts w:ascii="Times New Roman" w:eastAsia="Times New Roman" w:hAnsi="Times New Roman" w:cs="Times New Roman"/>
          <w:sz w:val="24"/>
          <w:szCs w:val="24"/>
        </w:rPr>
        <w:t xml:space="preserve"> Secondly, an easement is a right of property, an incorporeal hereditament and under the Torrens system a registered and indefeasible interest in land. One must not deprive a registered proprietor of its land without due cause; </w:t>
      </w:r>
      <w:proofErr w:type="spellStart"/>
      <w:r w:rsidRPr="009D3F3C">
        <w:rPr>
          <w:rFonts w:ascii="Times New Roman" w:eastAsia="Times New Roman" w:hAnsi="Times New Roman" w:cs="Times New Roman"/>
          <w:sz w:val="24"/>
          <w:szCs w:val="24"/>
        </w:rPr>
        <w:t>cf</w:t>
      </w:r>
      <w:proofErr w:type="spellEnd"/>
      <w:r w:rsidRPr="009D3F3C">
        <w:rPr>
          <w:rFonts w:ascii="Times New Roman" w:eastAsia="Times New Roman" w:hAnsi="Times New Roman" w:cs="Times New Roman"/>
          <w:sz w:val="24"/>
          <w:szCs w:val="24"/>
        </w:rPr>
        <w:t xml:space="preserve"> </w:t>
      </w:r>
      <w:r w:rsidRPr="009D3F3C">
        <w:rPr>
          <w:rFonts w:ascii="Times New Roman" w:eastAsia="Times New Roman" w:hAnsi="Times New Roman" w:cs="Times New Roman"/>
          <w:b/>
          <w:bCs/>
          <w:sz w:val="24"/>
          <w:szCs w:val="24"/>
        </w:rPr>
        <w:t xml:space="preserve">Pieper v Edwards </w:t>
      </w:r>
      <w:hyperlink r:id="rId77" w:tooltip="View LawCiteRecord" w:history="1">
        <w:r w:rsidRPr="009D3F3C">
          <w:rPr>
            <w:rFonts w:ascii="Times New Roman" w:eastAsia="Times New Roman" w:hAnsi="Times New Roman" w:cs="Times New Roman"/>
            <w:color w:val="0000FF"/>
            <w:sz w:val="24"/>
            <w:szCs w:val="24"/>
            <w:u w:val="single"/>
          </w:rPr>
          <w:t>[1982] 1 NSWLR 336.</w:t>
        </w:r>
      </w:hyperlink>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The question is one of fact. Weighing all the facts and arguments noted above, I do not consider that there is sufficient to establish abandonment.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5. I now pass to the claim under </w:t>
      </w:r>
      <w:hyperlink r:id="rId78" w:history="1">
        <w:r w:rsidRPr="009D3F3C">
          <w:rPr>
            <w:rFonts w:ascii="Times New Roman" w:eastAsia="Times New Roman" w:hAnsi="Times New Roman" w:cs="Times New Roman"/>
            <w:color w:val="0000FF"/>
            <w:sz w:val="24"/>
            <w:szCs w:val="24"/>
            <w:u w:val="single"/>
          </w:rPr>
          <w:t>s 89</w:t>
        </w:r>
      </w:hyperlink>
      <w:r w:rsidRPr="009D3F3C">
        <w:rPr>
          <w:rFonts w:ascii="Times New Roman" w:eastAsia="Times New Roman" w:hAnsi="Times New Roman" w:cs="Times New Roman"/>
          <w:sz w:val="24"/>
          <w:szCs w:val="24"/>
        </w:rPr>
        <w:t xml:space="preserve"> (1</w:t>
      </w:r>
      <w:proofErr w:type="gramStart"/>
      <w:r w:rsidRPr="009D3F3C">
        <w:rPr>
          <w:rFonts w:ascii="Times New Roman" w:eastAsia="Times New Roman" w:hAnsi="Times New Roman" w:cs="Times New Roman"/>
          <w:sz w:val="24"/>
          <w:szCs w:val="24"/>
        </w:rPr>
        <w:t>)(</w:t>
      </w:r>
      <w:proofErr w:type="gramEnd"/>
      <w:r w:rsidRPr="009D3F3C">
        <w:rPr>
          <w:rFonts w:ascii="Times New Roman" w:eastAsia="Times New Roman" w:hAnsi="Times New Roman" w:cs="Times New Roman"/>
          <w:sz w:val="24"/>
          <w:szCs w:val="24"/>
        </w:rPr>
        <w:t xml:space="preserve">c) of the </w:t>
      </w:r>
      <w:hyperlink r:id="rId79" w:history="1">
        <w:r w:rsidRPr="009D3F3C">
          <w:rPr>
            <w:rFonts w:ascii="Times New Roman" w:eastAsia="Times New Roman" w:hAnsi="Times New Roman" w:cs="Times New Roman"/>
            <w:color w:val="0000FF"/>
            <w:sz w:val="24"/>
            <w:szCs w:val="24"/>
            <w:u w:val="single"/>
          </w:rPr>
          <w:t>Conveyancing Act</w:t>
        </w:r>
      </w:hyperlink>
      <w:r w:rsidRPr="009D3F3C">
        <w:rPr>
          <w:rFonts w:ascii="Times New Roman" w:eastAsia="Times New Roman" w:hAnsi="Times New Roman" w:cs="Times New Roman"/>
          <w:sz w:val="24"/>
          <w:szCs w:val="24"/>
        </w:rPr>
        <w: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Under this paragraph, the court may make an order for extinguishment if it </w:t>
      </w:r>
      <w:proofErr w:type="gramStart"/>
      <w:r w:rsidRPr="009D3F3C">
        <w:rPr>
          <w:rFonts w:ascii="Times New Roman" w:eastAsia="Times New Roman" w:hAnsi="Times New Roman" w:cs="Times New Roman"/>
          <w:sz w:val="24"/>
          <w:szCs w:val="24"/>
        </w:rPr>
        <w:t>will</w:t>
      </w:r>
      <w:proofErr w:type="gramEnd"/>
      <w:r w:rsidRPr="009D3F3C">
        <w:rPr>
          <w:rFonts w:ascii="Times New Roman" w:eastAsia="Times New Roman" w:hAnsi="Times New Roman" w:cs="Times New Roman"/>
          <w:sz w:val="24"/>
          <w:szCs w:val="24"/>
        </w:rPr>
        <w:t xml:space="preserve"> not "substantially injure the persons entitled to the easement". The words "substantially injure" do not require that the injury be "large or substantial", but that the injury not be merely "theoretical" and have "present substance". The legislation is designed to allow extinguishment or modification only of easements of no practical utility, which should be removed or modified to "clear the title": </w:t>
      </w:r>
      <w:r w:rsidRPr="009D3F3C">
        <w:rPr>
          <w:rFonts w:ascii="Times New Roman" w:eastAsia="Times New Roman" w:hAnsi="Times New Roman" w:cs="Times New Roman"/>
          <w:b/>
          <w:bCs/>
          <w:sz w:val="24"/>
          <w:szCs w:val="24"/>
        </w:rPr>
        <w:t>Re Mason;</w:t>
      </w:r>
      <w:r w:rsidRPr="009D3F3C">
        <w:rPr>
          <w:rFonts w:ascii="Times New Roman" w:eastAsia="Times New Roman" w:hAnsi="Times New Roman" w:cs="Times New Roman"/>
          <w:sz w:val="24"/>
          <w:szCs w:val="24"/>
        </w:rPr>
        <w:t xml:space="preserve"> </w:t>
      </w:r>
      <w:proofErr w:type="spellStart"/>
      <w:r w:rsidRPr="009D3F3C">
        <w:rPr>
          <w:rFonts w:ascii="Times New Roman" w:eastAsia="Times New Roman" w:hAnsi="Times New Roman" w:cs="Times New Roman"/>
          <w:b/>
          <w:bCs/>
          <w:sz w:val="24"/>
          <w:szCs w:val="24"/>
        </w:rPr>
        <w:t>Guth</w:t>
      </w:r>
      <w:proofErr w:type="spellEnd"/>
      <w:r w:rsidRPr="009D3F3C">
        <w:rPr>
          <w:rFonts w:ascii="Times New Roman" w:eastAsia="Times New Roman" w:hAnsi="Times New Roman" w:cs="Times New Roman"/>
          <w:b/>
          <w:bCs/>
          <w:sz w:val="24"/>
          <w:szCs w:val="24"/>
        </w:rPr>
        <w:t xml:space="preserve"> v Robinson</w:t>
      </w:r>
      <w:r w:rsidRPr="009D3F3C">
        <w:rPr>
          <w:rFonts w:ascii="Times New Roman" w:eastAsia="Times New Roman" w:hAnsi="Times New Roman" w:cs="Times New Roman"/>
          <w:sz w:val="24"/>
          <w:szCs w:val="24"/>
        </w:rPr>
        <w:t xml:space="preserve">, both supra and </w:t>
      </w:r>
      <w:r w:rsidRPr="009D3F3C">
        <w:rPr>
          <w:rFonts w:ascii="Times New Roman" w:eastAsia="Times New Roman" w:hAnsi="Times New Roman" w:cs="Times New Roman"/>
          <w:b/>
          <w:bCs/>
          <w:sz w:val="24"/>
          <w:szCs w:val="24"/>
        </w:rPr>
        <w:t xml:space="preserve">Webster v </w:t>
      </w:r>
      <w:proofErr w:type="spellStart"/>
      <w:r w:rsidRPr="009D3F3C">
        <w:rPr>
          <w:rFonts w:ascii="Times New Roman" w:eastAsia="Times New Roman" w:hAnsi="Times New Roman" w:cs="Times New Roman"/>
          <w:b/>
          <w:bCs/>
          <w:sz w:val="24"/>
          <w:szCs w:val="24"/>
        </w:rPr>
        <w:t>Bradac</w:t>
      </w:r>
      <w:proofErr w:type="spellEnd"/>
      <w:r w:rsidRPr="009D3F3C">
        <w:rPr>
          <w:rFonts w:ascii="Times New Roman" w:eastAsia="Times New Roman" w:hAnsi="Times New Roman" w:cs="Times New Roman"/>
          <w:sz w:val="24"/>
          <w:szCs w:val="24"/>
        </w:rPr>
        <w:t xml:space="preserve"> </w:t>
      </w:r>
      <w:hyperlink r:id="rId80" w:tooltip="View LawCiteRecord" w:history="1">
        <w:r w:rsidRPr="009D3F3C">
          <w:rPr>
            <w:rFonts w:ascii="Times New Roman" w:eastAsia="Times New Roman" w:hAnsi="Times New Roman" w:cs="Times New Roman"/>
            <w:color w:val="0000FF"/>
            <w:sz w:val="24"/>
            <w:szCs w:val="24"/>
            <w:u w:val="single"/>
          </w:rPr>
          <w:t>(1993) 5 BPR 12</w:t>
        </w:r>
      </w:hyperlink>
      <w:r w:rsidRPr="009D3F3C">
        <w:rPr>
          <w:rFonts w:ascii="Times New Roman" w:eastAsia="Times New Roman" w:hAnsi="Times New Roman" w:cs="Times New Roman"/>
          <w:sz w:val="24"/>
          <w:szCs w:val="24"/>
        </w:rPr>
        <w:t>,032.</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Mr Donaldson submits that the defendant cannot succeed under this paragraph as the evidence of </w:t>
      </w:r>
      <w:proofErr w:type="spellStart"/>
      <w:r w:rsidRPr="009D3F3C">
        <w:rPr>
          <w:rFonts w:ascii="Times New Roman" w:eastAsia="Times New Roman" w:hAnsi="Times New Roman" w:cs="Times New Roman"/>
          <w:sz w:val="24"/>
          <w:szCs w:val="24"/>
        </w:rPr>
        <w:t>Messrs</w:t>
      </w:r>
      <w:proofErr w:type="spellEnd"/>
      <w:r w:rsidRPr="009D3F3C">
        <w:rPr>
          <w:rFonts w:ascii="Times New Roman" w:eastAsia="Times New Roman" w:hAnsi="Times New Roman" w:cs="Times New Roman"/>
          <w:sz w:val="24"/>
          <w:szCs w:val="24"/>
        </w:rPr>
        <w:t xml:space="preserve"> </w:t>
      </w:r>
      <w:proofErr w:type="spellStart"/>
      <w:r w:rsidRPr="009D3F3C">
        <w:rPr>
          <w:rFonts w:ascii="Times New Roman" w:eastAsia="Times New Roman" w:hAnsi="Times New Roman" w:cs="Times New Roman"/>
          <w:sz w:val="24"/>
          <w:szCs w:val="24"/>
        </w:rPr>
        <w:t>Dobinson</w:t>
      </w:r>
      <w:proofErr w:type="spellEnd"/>
      <w:r w:rsidRPr="009D3F3C">
        <w:rPr>
          <w:rFonts w:ascii="Times New Roman" w:eastAsia="Times New Roman" w:hAnsi="Times New Roman" w:cs="Times New Roman"/>
          <w:sz w:val="24"/>
          <w:szCs w:val="24"/>
        </w:rPr>
        <w:t xml:space="preserve">, </w:t>
      </w:r>
      <w:proofErr w:type="spellStart"/>
      <w:r w:rsidRPr="009D3F3C">
        <w:rPr>
          <w:rFonts w:ascii="Times New Roman" w:eastAsia="Times New Roman" w:hAnsi="Times New Roman" w:cs="Times New Roman"/>
          <w:sz w:val="24"/>
          <w:szCs w:val="24"/>
        </w:rPr>
        <w:t>Rowlands</w:t>
      </w:r>
      <w:proofErr w:type="spellEnd"/>
      <w:r w:rsidRPr="009D3F3C">
        <w:rPr>
          <w:rFonts w:ascii="Times New Roman" w:eastAsia="Times New Roman" w:hAnsi="Times New Roman" w:cs="Times New Roman"/>
          <w:sz w:val="24"/>
          <w:szCs w:val="24"/>
        </w:rPr>
        <w:t xml:space="preserve"> and Jones establishes beyond argument that the plaintiff will suffer substantial injury by extinguishment of the easement.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Mr McDougall QC submits that it is not necessary for the purpose of </w:t>
      </w:r>
      <w:hyperlink r:id="rId81" w:history="1">
        <w:r w:rsidRPr="009D3F3C">
          <w:rPr>
            <w:rFonts w:ascii="Times New Roman" w:eastAsia="Times New Roman" w:hAnsi="Times New Roman" w:cs="Times New Roman"/>
            <w:color w:val="0000FF"/>
            <w:sz w:val="24"/>
            <w:szCs w:val="24"/>
            <w:u w:val="single"/>
          </w:rPr>
          <w:t>section 89(1</w:t>
        </w:r>
        <w:proofErr w:type="gramStart"/>
        <w:r w:rsidRPr="009D3F3C">
          <w:rPr>
            <w:rFonts w:ascii="Times New Roman" w:eastAsia="Times New Roman" w:hAnsi="Times New Roman" w:cs="Times New Roman"/>
            <w:color w:val="0000FF"/>
            <w:sz w:val="24"/>
            <w:szCs w:val="24"/>
            <w:u w:val="single"/>
          </w:rPr>
          <w:t>)(</w:t>
        </w:r>
        <w:proofErr w:type="gramEnd"/>
        <w:r w:rsidRPr="009D3F3C">
          <w:rPr>
            <w:rFonts w:ascii="Times New Roman" w:eastAsia="Times New Roman" w:hAnsi="Times New Roman" w:cs="Times New Roman"/>
            <w:color w:val="0000FF"/>
            <w:sz w:val="24"/>
            <w:szCs w:val="24"/>
            <w:u w:val="single"/>
          </w:rPr>
          <w:t>c)</w:t>
        </w:r>
      </w:hyperlink>
      <w:r w:rsidRPr="009D3F3C">
        <w:rPr>
          <w:rFonts w:ascii="Times New Roman" w:eastAsia="Times New Roman" w:hAnsi="Times New Roman" w:cs="Times New Roman"/>
          <w:sz w:val="24"/>
          <w:szCs w:val="24"/>
        </w:rPr>
        <w:t xml:space="preserve"> to show that the existence of the restriction impedes the reasonable user of the land. All that need be established is that the extinguishment will allow use of the burdened land which will not substantially injure the persons entitled to the benefit of the restriction (see "Vendor and Purchaser - Restrictive Covenants - Proceedings to Modify" in </w:t>
      </w:r>
      <w:hyperlink r:id="rId82" w:tooltip="View LawCiteRecord" w:history="1">
        <w:r w:rsidRPr="009D3F3C">
          <w:rPr>
            <w:rFonts w:ascii="Times New Roman" w:eastAsia="Times New Roman" w:hAnsi="Times New Roman" w:cs="Times New Roman"/>
            <w:color w:val="0000FF"/>
            <w:sz w:val="24"/>
            <w:szCs w:val="24"/>
            <w:u w:val="single"/>
          </w:rPr>
          <w:t>(1959) 32 ALJ 382).</w:t>
        </w:r>
      </w:hyperlink>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 test to be applied "...is similar to that to be applied in determining under para (a) namely, whether the continued existence of the restriction would secure practical benefit to other persons"; </w:t>
      </w:r>
      <w:r w:rsidRPr="009D3F3C">
        <w:rPr>
          <w:rFonts w:ascii="Times New Roman" w:eastAsia="Times New Roman" w:hAnsi="Times New Roman" w:cs="Times New Roman"/>
          <w:b/>
          <w:bCs/>
          <w:sz w:val="24"/>
          <w:szCs w:val="24"/>
        </w:rPr>
        <w:t>Re Stani</w:t>
      </w:r>
      <w:r w:rsidRPr="009D3F3C">
        <w:rPr>
          <w:rFonts w:ascii="Times New Roman" w:eastAsia="Times New Roman" w:hAnsi="Times New Roman" w:cs="Times New Roman"/>
          <w:sz w:val="24"/>
          <w:szCs w:val="24"/>
        </w:rPr>
        <w:t xml:space="preserve">, supra at 10; </w:t>
      </w:r>
      <w:r w:rsidRPr="009D3F3C">
        <w:rPr>
          <w:rFonts w:ascii="Times New Roman" w:eastAsia="Times New Roman" w:hAnsi="Times New Roman" w:cs="Times New Roman"/>
          <w:b/>
          <w:bCs/>
          <w:sz w:val="24"/>
          <w:szCs w:val="24"/>
        </w:rPr>
        <w:t>Re Ghey and Galton's Application</w:t>
      </w:r>
      <w:r w:rsidRPr="009D3F3C">
        <w:rPr>
          <w:rFonts w:ascii="Times New Roman" w:eastAsia="Times New Roman" w:hAnsi="Times New Roman" w:cs="Times New Roman"/>
          <w:sz w:val="24"/>
          <w:szCs w:val="24"/>
        </w:rPr>
        <w:t>, supra, at 659-60 and</w:t>
      </w:r>
      <w:r w:rsidRPr="009D3F3C">
        <w:rPr>
          <w:rFonts w:ascii="Times New Roman" w:eastAsia="Times New Roman" w:hAnsi="Times New Roman" w:cs="Times New Roman"/>
          <w:b/>
          <w:bCs/>
          <w:sz w:val="24"/>
          <w:szCs w:val="24"/>
        </w:rPr>
        <w:t xml:space="preserve"> Re Robinson</w:t>
      </w:r>
      <w:r w:rsidRPr="009D3F3C">
        <w:rPr>
          <w:rFonts w:ascii="Times New Roman" w:eastAsia="Times New Roman" w:hAnsi="Times New Roman" w:cs="Times New Roman"/>
          <w:sz w:val="24"/>
          <w:szCs w:val="24"/>
        </w:rPr>
        <w:t>, supra, at 284.</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In </w:t>
      </w:r>
      <w:r w:rsidRPr="009D3F3C">
        <w:rPr>
          <w:rFonts w:ascii="Times New Roman" w:eastAsia="Times New Roman" w:hAnsi="Times New Roman" w:cs="Times New Roman"/>
          <w:b/>
          <w:bCs/>
          <w:sz w:val="24"/>
          <w:szCs w:val="24"/>
        </w:rPr>
        <w:t xml:space="preserve">Heaton v </w:t>
      </w:r>
      <w:proofErr w:type="spellStart"/>
      <w:r w:rsidRPr="009D3F3C">
        <w:rPr>
          <w:rFonts w:ascii="Times New Roman" w:eastAsia="Times New Roman" w:hAnsi="Times New Roman" w:cs="Times New Roman"/>
          <w:b/>
          <w:bCs/>
          <w:sz w:val="24"/>
          <w:szCs w:val="24"/>
        </w:rPr>
        <w:t>Loblay</w:t>
      </w:r>
      <w:proofErr w:type="spellEnd"/>
      <w:r w:rsidRPr="009D3F3C">
        <w:rPr>
          <w:rFonts w:ascii="Times New Roman" w:eastAsia="Times New Roman" w:hAnsi="Times New Roman" w:cs="Times New Roman"/>
          <w:sz w:val="24"/>
          <w:szCs w:val="24"/>
        </w:rPr>
        <w:t xml:space="preserve">, supra at p 335, Myers J drew a clear distinction between what had to be shown under paragraph (a) and what had to be shown under paragraph (c). His Honour said, </w:t>
      </w:r>
      <w:r w:rsidRPr="009D3F3C">
        <w:rPr>
          <w:rFonts w:ascii="Times New Roman" w:eastAsia="Times New Roman" w:hAnsi="Times New Roman" w:cs="Times New Roman"/>
          <w:sz w:val="24"/>
          <w:szCs w:val="24"/>
        </w:rPr>
        <w:lastRenderedPageBreak/>
        <w:t xml:space="preserve">"Under par. (a) </w:t>
      </w:r>
      <w:proofErr w:type="gramStart"/>
      <w:r w:rsidRPr="009D3F3C">
        <w:rPr>
          <w:rFonts w:ascii="Times New Roman" w:eastAsia="Times New Roman" w:hAnsi="Times New Roman" w:cs="Times New Roman"/>
          <w:sz w:val="24"/>
          <w:szCs w:val="24"/>
        </w:rPr>
        <w:t>the</w:t>
      </w:r>
      <w:proofErr w:type="gramEnd"/>
      <w:r w:rsidRPr="009D3F3C">
        <w:rPr>
          <w:rFonts w:ascii="Times New Roman" w:eastAsia="Times New Roman" w:hAnsi="Times New Roman" w:cs="Times New Roman"/>
          <w:sz w:val="24"/>
          <w:szCs w:val="24"/>
        </w:rPr>
        <w:t xml:space="preserve"> inquiry concerns the effect of the restriction or its effect if not extinguished or modified. Under par (c) the enquiry concerns the effect of the desired modification" (or, in the present case, the extinguishment).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 cases show that the injury to the dominant owner is not just to be measured in terms of loss of value of the land. Even legitimate fears that, while the subject of the current application will of itself cause no injury, it could be the "thin edge of the wedge", may be sufficient to prevent an application succeeding: </w:t>
      </w:r>
      <w:r w:rsidRPr="009D3F3C">
        <w:rPr>
          <w:rFonts w:ascii="Times New Roman" w:eastAsia="Times New Roman" w:hAnsi="Times New Roman" w:cs="Times New Roman"/>
          <w:b/>
          <w:bCs/>
          <w:sz w:val="24"/>
          <w:szCs w:val="24"/>
        </w:rPr>
        <w:t xml:space="preserve">Re </w:t>
      </w:r>
      <w:proofErr w:type="spellStart"/>
      <w:r w:rsidRPr="009D3F3C">
        <w:rPr>
          <w:rFonts w:ascii="Times New Roman" w:eastAsia="Times New Roman" w:hAnsi="Times New Roman" w:cs="Times New Roman"/>
          <w:b/>
          <w:bCs/>
          <w:sz w:val="24"/>
          <w:szCs w:val="24"/>
        </w:rPr>
        <w:t>Snaith</w:t>
      </w:r>
      <w:proofErr w:type="spellEnd"/>
      <w:r w:rsidRPr="009D3F3C">
        <w:rPr>
          <w:rFonts w:ascii="Times New Roman" w:eastAsia="Times New Roman" w:hAnsi="Times New Roman" w:cs="Times New Roman"/>
          <w:b/>
          <w:bCs/>
          <w:sz w:val="24"/>
          <w:szCs w:val="24"/>
        </w:rPr>
        <w:t xml:space="preserve"> &amp; </w:t>
      </w:r>
      <w:proofErr w:type="spellStart"/>
      <w:r w:rsidRPr="009D3F3C">
        <w:rPr>
          <w:rFonts w:ascii="Times New Roman" w:eastAsia="Times New Roman" w:hAnsi="Times New Roman" w:cs="Times New Roman"/>
          <w:b/>
          <w:bCs/>
          <w:sz w:val="24"/>
          <w:szCs w:val="24"/>
        </w:rPr>
        <w:t>Dolding's</w:t>
      </w:r>
      <w:proofErr w:type="spellEnd"/>
      <w:r w:rsidRPr="009D3F3C">
        <w:rPr>
          <w:rFonts w:ascii="Times New Roman" w:eastAsia="Times New Roman" w:hAnsi="Times New Roman" w:cs="Times New Roman"/>
          <w:b/>
          <w:bCs/>
          <w:sz w:val="24"/>
          <w:szCs w:val="24"/>
        </w:rPr>
        <w:t xml:space="preserve"> Application </w:t>
      </w:r>
      <w:hyperlink r:id="rId83" w:tooltip="View LawCiteRecord" w:history="1">
        <w:r w:rsidRPr="009D3F3C">
          <w:rPr>
            <w:rFonts w:ascii="Times New Roman" w:eastAsia="Times New Roman" w:hAnsi="Times New Roman" w:cs="Times New Roman"/>
            <w:color w:val="0000FF"/>
            <w:sz w:val="24"/>
            <w:szCs w:val="24"/>
            <w:u w:val="single"/>
          </w:rPr>
          <w:t>(1995) 71 P &amp; CR 104.</w:t>
        </w:r>
      </w:hyperlink>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The defendant puts that the easement was created for the purpose of providing "reasonable access" to the dominant tenement. It was not created to preserve the value of the dominant tenement. </w:t>
      </w:r>
      <w:proofErr w:type="gramStart"/>
      <w:r w:rsidRPr="009D3F3C">
        <w:rPr>
          <w:rFonts w:ascii="Times New Roman" w:eastAsia="Times New Roman" w:hAnsi="Times New Roman" w:cs="Times New Roman"/>
          <w:sz w:val="24"/>
          <w:szCs w:val="24"/>
        </w:rPr>
        <w:t>Accordingly, in so far as it may be submitted that if the easement is extinguished the plaintiff may be deprived of a valuable asset, value is not a relevant factor.</w:t>
      </w:r>
      <w:proofErr w:type="gramEnd"/>
      <w:r w:rsidRPr="009D3F3C">
        <w:rPr>
          <w:rFonts w:ascii="Times New Roman" w:eastAsia="Times New Roman" w:hAnsi="Times New Roman" w:cs="Times New Roman"/>
          <w:sz w:val="24"/>
          <w:szCs w:val="24"/>
        </w:rPr>
        <w:t xml:space="preserve"> This is a clever argument, but it ignores the fact that the right of additional access, however limited, is of obvious benefit to any landholder.</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I am not satisfied that the extinguishment of the easement will not substantially injure the plaintiff.</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It must be remembered that the court has </w:t>
      </w:r>
      <w:proofErr w:type="gramStart"/>
      <w:r w:rsidRPr="009D3F3C">
        <w:rPr>
          <w:rFonts w:ascii="Times New Roman" w:eastAsia="Times New Roman" w:hAnsi="Times New Roman" w:cs="Times New Roman"/>
          <w:sz w:val="24"/>
          <w:szCs w:val="24"/>
        </w:rPr>
        <w:t>a discretion</w:t>
      </w:r>
      <w:proofErr w:type="gramEnd"/>
      <w:r w:rsidRPr="009D3F3C">
        <w:rPr>
          <w:rFonts w:ascii="Times New Roman" w:eastAsia="Times New Roman" w:hAnsi="Times New Roman" w:cs="Times New Roman"/>
          <w:sz w:val="24"/>
          <w:szCs w:val="24"/>
        </w:rPr>
        <w:t xml:space="preserve">, even if a gateway has been safely passed, to decline to make an order under </w:t>
      </w:r>
      <w:hyperlink r:id="rId84" w:history="1">
        <w:r w:rsidRPr="009D3F3C">
          <w:rPr>
            <w:rFonts w:ascii="Times New Roman" w:eastAsia="Times New Roman" w:hAnsi="Times New Roman" w:cs="Times New Roman"/>
            <w:color w:val="0000FF"/>
            <w:sz w:val="24"/>
            <w:szCs w:val="24"/>
            <w:u w:val="single"/>
          </w:rPr>
          <w:t>s 89.</w:t>
        </w:r>
      </w:hyperlink>
      <w:r w:rsidRPr="009D3F3C">
        <w:rPr>
          <w:rFonts w:ascii="Times New Roman" w:eastAsia="Times New Roman" w:hAnsi="Times New Roman" w:cs="Times New Roman"/>
          <w:sz w:val="24"/>
          <w:szCs w:val="24"/>
        </w:rPr>
        <w:t xml:space="preserve"> I mention this as both sets of counsel have raised it. However, as I find that the gateways have not been breached, there is no purpose in developing this subject.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6. Is the plaintiff seeking to use the right of way excessively?</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This question is really premature. Until planning permission is given and buildings erected, no-one really knows what user will be involved.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Mr McDougall QC submits that the grant must be construed from the words of the grant itself, regard being had "...to the state of affairs at the time of the grant." (</w:t>
      </w:r>
      <w:proofErr w:type="spellStart"/>
      <w:r w:rsidRPr="009D3F3C">
        <w:rPr>
          <w:rFonts w:ascii="Times New Roman" w:eastAsia="Times New Roman" w:hAnsi="Times New Roman" w:cs="Times New Roman"/>
          <w:b/>
          <w:bCs/>
          <w:sz w:val="24"/>
          <w:szCs w:val="24"/>
        </w:rPr>
        <w:t>Rodwell</w:t>
      </w:r>
      <w:proofErr w:type="spellEnd"/>
      <w:r w:rsidRPr="009D3F3C">
        <w:rPr>
          <w:rFonts w:ascii="Times New Roman" w:eastAsia="Times New Roman" w:hAnsi="Times New Roman" w:cs="Times New Roman"/>
          <w:b/>
          <w:bCs/>
          <w:sz w:val="24"/>
          <w:szCs w:val="24"/>
        </w:rPr>
        <w:t xml:space="preserve"> v GR Evans &amp; Co Pty Ltd (</w:t>
      </w:r>
      <w:r w:rsidRPr="009D3F3C">
        <w:rPr>
          <w:rFonts w:ascii="Times New Roman" w:eastAsia="Times New Roman" w:hAnsi="Times New Roman" w:cs="Times New Roman"/>
          <w:sz w:val="24"/>
          <w:szCs w:val="24"/>
        </w:rPr>
        <w:t xml:space="preserve"> </w:t>
      </w:r>
      <w:hyperlink r:id="rId85" w:tooltip="View LawCiteRecord" w:history="1">
        <w:r w:rsidRPr="009D3F3C">
          <w:rPr>
            <w:rFonts w:ascii="Times New Roman" w:eastAsia="Times New Roman" w:hAnsi="Times New Roman" w:cs="Times New Roman"/>
            <w:color w:val="0000FF"/>
            <w:sz w:val="24"/>
            <w:szCs w:val="24"/>
            <w:u w:val="single"/>
          </w:rPr>
          <w:t>1977) 3 BPR 9114</w:t>
        </w:r>
      </w:hyperlink>
      <w:r w:rsidRPr="009D3F3C">
        <w:rPr>
          <w:rFonts w:ascii="Times New Roman" w:eastAsia="Times New Roman" w:hAnsi="Times New Roman" w:cs="Times New Roman"/>
          <w:sz w:val="24"/>
          <w:szCs w:val="24"/>
        </w:rPr>
        <w:t xml:space="preserve">; see also </w:t>
      </w:r>
      <w:r w:rsidRPr="009D3F3C">
        <w:rPr>
          <w:rFonts w:ascii="Times New Roman" w:eastAsia="Times New Roman" w:hAnsi="Times New Roman" w:cs="Times New Roman"/>
          <w:b/>
          <w:bCs/>
          <w:sz w:val="24"/>
          <w:szCs w:val="24"/>
        </w:rPr>
        <w:t>Cannon v Villars</w:t>
      </w:r>
      <w:r w:rsidRPr="009D3F3C">
        <w:rPr>
          <w:rFonts w:ascii="Times New Roman" w:eastAsia="Times New Roman" w:hAnsi="Times New Roman" w:cs="Times New Roman"/>
          <w:sz w:val="24"/>
          <w:szCs w:val="24"/>
        </w:rPr>
        <w:t xml:space="preserve"> </w:t>
      </w:r>
      <w:hyperlink r:id="rId86" w:tooltip="View LawCiteRecord" w:history="1">
        <w:r w:rsidRPr="009D3F3C">
          <w:rPr>
            <w:rFonts w:ascii="Times New Roman" w:eastAsia="Times New Roman" w:hAnsi="Times New Roman" w:cs="Times New Roman"/>
            <w:color w:val="0000FF"/>
            <w:sz w:val="24"/>
            <w:szCs w:val="24"/>
            <w:u w:val="single"/>
          </w:rPr>
          <w:t>(1878) 8 Ch D 415</w:t>
        </w:r>
      </w:hyperlink>
      <w:r w:rsidRPr="009D3F3C">
        <w:rPr>
          <w:rFonts w:ascii="Times New Roman" w:eastAsia="Times New Roman" w:hAnsi="Times New Roman" w:cs="Times New Roman"/>
          <w:sz w:val="24"/>
          <w:szCs w:val="24"/>
        </w:rPr>
        <w:t xml:space="preserve">, 420; </w:t>
      </w:r>
      <w:r w:rsidRPr="009D3F3C">
        <w:rPr>
          <w:rFonts w:ascii="Times New Roman" w:eastAsia="Times New Roman" w:hAnsi="Times New Roman" w:cs="Times New Roman"/>
          <w:b/>
          <w:bCs/>
          <w:sz w:val="24"/>
          <w:szCs w:val="24"/>
        </w:rPr>
        <w:t xml:space="preserve">Paterson &amp; Barr Ltd v University of </w:t>
      </w:r>
      <w:proofErr w:type="spellStart"/>
      <w:r w:rsidRPr="009D3F3C">
        <w:rPr>
          <w:rFonts w:ascii="Times New Roman" w:eastAsia="Times New Roman" w:hAnsi="Times New Roman" w:cs="Times New Roman"/>
          <w:b/>
          <w:bCs/>
          <w:sz w:val="24"/>
          <w:szCs w:val="24"/>
        </w:rPr>
        <w:t>Otago</w:t>
      </w:r>
      <w:proofErr w:type="spellEnd"/>
      <w:r w:rsidRPr="009D3F3C">
        <w:rPr>
          <w:rFonts w:ascii="Times New Roman" w:eastAsia="Times New Roman" w:hAnsi="Times New Roman" w:cs="Times New Roman"/>
          <w:b/>
          <w:bCs/>
          <w:sz w:val="24"/>
          <w:szCs w:val="24"/>
        </w:rPr>
        <w:t xml:space="preserve"> </w:t>
      </w:r>
      <w:hyperlink r:id="rId87" w:tooltip="View LawCiteRecord" w:history="1">
        <w:r w:rsidRPr="009D3F3C">
          <w:rPr>
            <w:rFonts w:ascii="Times New Roman" w:eastAsia="Times New Roman" w:hAnsi="Times New Roman" w:cs="Times New Roman"/>
            <w:color w:val="0000FF"/>
            <w:sz w:val="24"/>
            <w:szCs w:val="24"/>
            <w:u w:val="single"/>
          </w:rPr>
          <w:t>[1925] NZLR 191</w:t>
        </w:r>
      </w:hyperlink>
      <w:r w:rsidRPr="009D3F3C">
        <w:rPr>
          <w:rFonts w:ascii="Times New Roman" w:eastAsia="Times New Roman" w:hAnsi="Times New Roman" w:cs="Times New Roman"/>
          <w:sz w:val="24"/>
          <w:szCs w:val="24"/>
        </w:rPr>
        <w:t xml:space="preserve">, 194; </w:t>
      </w:r>
      <w:proofErr w:type="spellStart"/>
      <w:r w:rsidRPr="009D3F3C">
        <w:rPr>
          <w:rFonts w:ascii="Times New Roman" w:eastAsia="Times New Roman" w:hAnsi="Times New Roman" w:cs="Times New Roman"/>
          <w:b/>
          <w:bCs/>
          <w:sz w:val="24"/>
          <w:szCs w:val="24"/>
        </w:rPr>
        <w:t>Flavell</w:t>
      </w:r>
      <w:proofErr w:type="spellEnd"/>
      <w:r w:rsidRPr="009D3F3C">
        <w:rPr>
          <w:rFonts w:ascii="Times New Roman" w:eastAsia="Times New Roman" w:hAnsi="Times New Roman" w:cs="Times New Roman"/>
          <w:b/>
          <w:bCs/>
          <w:sz w:val="24"/>
          <w:szCs w:val="24"/>
        </w:rPr>
        <w:t xml:space="preserve"> v Lange </w:t>
      </w:r>
      <w:hyperlink r:id="rId88" w:tooltip="View LawCiteRecord" w:history="1">
        <w:r w:rsidRPr="009D3F3C">
          <w:rPr>
            <w:rFonts w:ascii="Times New Roman" w:eastAsia="Times New Roman" w:hAnsi="Times New Roman" w:cs="Times New Roman"/>
            <w:color w:val="0000FF"/>
            <w:sz w:val="24"/>
            <w:szCs w:val="24"/>
            <w:u w:val="single"/>
          </w:rPr>
          <w:t>[1937] NZLR 444</w:t>
        </w:r>
      </w:hyperlink>
      <w:r w:rsidRPr="009D3F3C">
        <w:rPr>
          <w:rFonts w:ascii="Times New Roman" w:eastAsia="Times New Roman" w:hAnsi="Times New Roman" w:cs="Times New Roman"/>
          <w:sz w:val="24"/>
          <w:szCs w:val="24"/>
        </w:rPr>
        <w:t xml:space="preserve">, 447). That state of affairs shows that the easement was granted for the purpose only of reasonable access to and from the dominant tenement. However, according to Mr </w:t>
      </w:r>
      <w:proofErr w:type="spellStart"/>
      <w:r w:rsidRPr="009D3F3C">
        <w:rPr>
          <w:rFonts w:ascii="Times New Roman" w:eastAsia="Times New Roman" w:hAnsi="Times New Roman" w:cs="Times New Roman"/>
          <w:sz w:val="24"/>
          <w:szCs w:val="24"/>
        </w:rPr>
        <w:t>Roncolato</w:t>
      </w:r>
      <w:proofErr w:type="spellEnd"/>
      <w:r w:rsidRPr="009D3F3C">
        <w:rPr>
          <w:rFonts w:ascii="Times New Roman" w:eastAsia="Times New Roman" w:hAnsi="Times New Roman" w:cs="Times New Roman"/>
          <w:sz w:val="24"/>
          <w:szCs w:val="24"/>
        </w:rPr>
        <w:t>, the chief witness for the plaintiff, the easement is to be used for the purpose of providing perimeter vehicular access to the proposed development thus enabling the development to be considered to be a "large isolated building" pursuant to clause C2.3 of the Building Code of Australia thereby enabling the erection of a Type C construction. A consequence will be the easement potentially accommodating up to 140 vehicle trips daily.</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A further point is that it is a basic principle of the law of easements that an easement accommodates the dominant tenement only. Thus, a right of way cannot be used for the service of tenements other than the dominant tenement. It cannot, for example, be used as a means of access to tenements which lie beyond the dominant tenement, unless at the time of the grant the dominant tenement forms a means of access to tenements beyond the dominant tenement: </w:t>
      </w:r>
      <w:r w:rsidRPr="009D3F3C">
        <w:rPr>
          <w:rFonts w:ascii="Times New Roman" w:eastAsia="Times New Roman" w:hAnsi="Times New Roman" w:cs="Times New Roman"/>
          <w:b/>
          <w:bCs/>
          <w:sz w:val="24"/>
          <w:szCs w:val="24"/>
        </w:rPr>
        <w:lastRenderedPageBreak/>
        <w:t xml:space="preserve">Williams v James </w:t>
      </w:r>
      <w:hyperlink r:id="rId89" w:tooltip="View LawCiteRecord" w:history="1">
        <w:r w:rsidRPr="009D3F3C">
          <w:rPr>
            <w:rFonts w:ascii="Times New Roman" w:eastAsia="Times New Roman" w:hAnsi="Times New Roman" w:cs="Times New Roman"/>
            <w:color w:val="0000FF"/>
            <w:sz w:val="24"/>
            <w:szCs w:val="24"/>
            <w:u w:val="single"/>
          </w:rPr>
          <w:t>(1867) LR 2 CP 577</w:t>
        </w:r>
      </w:hyperlink>
      <w:r w:rsidRPr="009D3F3C">
        <w:rPr>
          <w:rFonts w:ascii="Times New Roman" w:eastAsia="Times New Roman" w:hAnsi="Times New Roman" w:cs="Times New Roman"/>
          <w:sz w:val="24"/>
          <w:szCs w:val="24"/>
        </w:rPr>
        <w:t xml:space="preserve">, 580; </w:t>
      </w:r>
      <w:r w:rsidRPr="009D3F3C">
        <w:rPr>
          <w:rFonts w:ascii="Times New Roman" w:eastAsia="Times New Roman" w:hAnsi="Times New Roman" w:cs="Times New Roman"/>
          <w:b/>
          <w:bCs/>
          <w:sz w:val="24"/>
          <w:szCs w:val="24"/>
        </w:rPr>
        <w:t>Harris v Flower</w:t>
      </w:r>
      <w:r w:rsidRPr="009D3F3C">
        <w:rPr>
          <w:rFonts w:ascii="Times New Roman" w:eastAsia="Times New Roman" w:hAnsi="Times New Roman" w:cs="Times New Roman"/>
          <w:sz w:val="24"/>
          <w:szCs w:val="24"/>
        </w:rPr>
        <w:t xml:space="preserve"> </w:t>
      </w:r>
      <w:hyperlink r:id="rId90" w:tooltip="View LawCiteRecord" w:history="1">
        <w:r w:rsidRPr="009D3F3C">
          <w:rPr>
            <w:rFonts w:ascii="Times New Roman" w:eastAsia="Times New Roman" w:hAnsi="Times New Roman" w:cs="Times New Roman"/>
            <w:color w:val="0000FF"/>
            <w:sz w:val="24"/>
            <w:szCs w:val="24"/>
            <w:u w:val="single"/>
          </w:rPr>
          <w:t>(1904) 74 LJ Ch 127</w:t>
        </w:r>
      </w:hyperlink>
      <w:r w:rsidRPr="009D3F3C">
        <w:rPr>
          <w:rFonts w:ascii="Times New Roman" w:eastAsia="Times New Roman" w:hAnsi="Times New Roman" w:cs="Times New Roman"/>
          <w:sz w:val="24"/>
          <w:szCs w:val="24"/>
        </w:rPr>
        <w:t xml:space="preserve">; </w:t>
      </w:r>
      <w:r w:rsidRPr="009D3F3C">
        <w:rPr>
          <w:rFonts w:ascii="Times New Roman" w:eastAsia="Times New Roman" w:hAnsi="Times New Roman" w:cs="Times New Roman"/>
          <w:b/>
          <w:bCs/>
          <w:sz w:val="24"/>
          <w:szCs w:val="24"/>
        </w:rPr>
        <w:t xml:space="preserve">Paterson &amp; Barr Ltd v University of </w:t>
      </w:r>
      <w:proofErr w:type="spellStart"/>
      <w:r w:rsidRPr="009D3F3C">
        <w:rPr>
          <w:rFonts w:ascii="Times New Roman" w:eastAsia="Times New Roman" w:hAnsi="Times New Roman" w:cs="Times New Roman"/>
          <w:b/>
          <w:bCs/>
          <w:sz w:val="24"/>
          <w:szCs w:val="24"/>
        </w:rPr>
        <w:t>Otago</w:t>
      </w:r>
      <w:proofErr w:type="spellEnd"/>
      <w:r w:rsidRPr="009D3F3C">
        <w:rPr>
          <w:rFonts w:ascii="Times New Roman" w:eastAsia="Times New Roman" w:hAnsi="Times New Roman" w:cs="Times New Roman"/>
          <w:sz w:val="24"/>
          <w:szCs w:val="24"/>
        </w:rPr>
        <w:t xml:space="preserve"> </w:t>
      </w:r>
      <w:hyperlink r:id="rId91" w:tooltip="View LawCiteRecord" w:history="1">
        <w:r w:rsidRPr="009D3F3C">
          <w:rPr>
            <w:rFonts w:ascii="Times New Roman" w:eastAsia="Times New Roman" w:hAnsi="Times New Roman" w:cs="Times New Roman"/>
            <w:color w:val="0000FF"/>
            <w:sz w:val="24"/>
            <w:szCs w:val="24"/>
            <w:u w:val="single"/>
          </w:rPr>
          <w:t>[1925] NZLR 191</w:t>
        </w:r>
      </w:hyperlink>
      <w:r w:rsidRPr="009D3F3C">
        <w:rPr>
          <w:rFonts w:ascii="Times New Roman" w:eastAsia="Times New Roman" w:hAnsi="Times New Roman" w:cs="Times New Roman"/>
          <w:sz w:val="24"/>
          <w:szCs w:val="24"/>
        </w:rPr>
        <w:t xml:space="preserve">; </w:t>
      </w:r>
      <w:r w:rsidRPr="009D3F3C">
        <w:rPr>
          <w:rFonts w:ascii="Times New Roman" w:eastAsia="Times New Roman" w:hAnsi="Times New Roman" w:cs="Times New Roman"/>
          <w:b/>
          <w:bCs/>
          <w:sz w:val="24"/>
          <w:szCs w:val="24"/>
        </w:rPr>
        <w:t xml:space="preserve">Re </w:t>
      </w:r>
      <w:proofErr w:type="spellStart"/>
      <w:r w:rsidRPr="009D3F3C">
        <w:rPr>
          <w:rFonts w:ascii="Times New Roman" w:eastAsia="Times New Roman" w:hAnsi="Times New Roman" w:cs="Times New Roman"/>
          <w:b/>
          <w:bCs/>
          <w:sz w:val="24"/>
          <w:szCs w:val="24"/>
        </w:rPr>
        <w:t>Ellenborough</w:t>
      </w:r>
      <w:proofErr w:type="spellEnd"/>
      <w:r w:rsidRPr="009D3F3C">
        <w:rPr>
          <w:rFonts w:ascii="Times New Roman" w:eastAsia="Times New Roman" w:hAnsi="Times New Roman" w:cs="Times New Roman"/>
          <w:b/>
          <w:bCs/>
          <w:sz w:val="24"/>
          <w:szCs w:val="24"/>
        </w:rPr>
        <w:t xml:space="preserve"> Park</w:t>
      </w:r>
      <w:r w:rsidRPr="009D3F3C">
        <w:rPr>
          <w:rFonts w:ascii="Times New Roman" w:eastAsia="Times New Roman" w:hAnsi="Times New Roman" w:cs="Times New Roman"/>
          <w:sz w:val="24"/>
          <w:szCs w:val="24"/>
        </w:rPr>
        <w:t xml:space="preserve"> [1956] Ch 131 and </w:t>
      </w:r>
      <w:r w:rsidRPr="009D3F3C">
        <w:rPr>
          <w:rFonts w:ascii="Times New Roman" w:eastAsia="Times New Roman" w:hAnsi="Times New Roman" w:cs="Times New Roman"/>
          <w:b/>
          <w:bCs/>
          <w:sz w:val="24"/>
          <w:szCs w:val="24"/>
        </w:rPr>
        <w:t xml:space="preserve">Nickerson v </w:t>
      </w:r>
      <w:proofErr w:type="spellStart"/>
      <w:r w:rsidRPr="009D3F3C">
        <w:rPr>
          <w:rFonts w:ascii="Times New Roman" w:eastAsia="Times New Roman" w:hAnsi="Times New Roman" w:cs="Times New Roman"/>
          <w:b/>
          <w:bCs/>
          <w:sz w:val="24"/>
          <w:szCs w:val="24"/>
        </w:rPr>
        <w:t>Barraclough</w:t>
      </w:r>
      <w:proofErr w:type="spellEnd"/>
      <w:r w:rsidRPr="009D3F3C">
        <w:rPr>
          <w:rFonts w:ascii="Times New Roman" w:eastAsia="Times New Roman" w:hAnsi="Times New Roman" w:cs="Times New Roman"/>
          <w:b/>
          <w:bCs/>
          <w:sz w:val="24"/>
          <w:szCs w:val="24"/>
        </w:rPr>
        <w:t xml:space="preserve"> </w:t>
      </w:r>
      <w:hyperlink r:id="rId92" w:tooltip="View LawCiteRecord" w:history="1">
        <w:r w:rsidRPr="009D3F3C">
          <w:rPr>
            <w:rFonts w:ascii="Times New Roman" w:eastAsia="Times New Roman" w:hAnsi="Times New Roman" w:cs="Times New Roman"/>
            <w:color w:val="0000FF"/>
            <w:sz w:val="24"/>
            <w:szCs w:val="24"/>
            <w:u w:val="single"/>
          </w:rPr>
          <w:t>[1980] Ch 325.</w:t>
        </w:r>
      </w:hyperlink>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All this correctly states the law. However, it cannot be applied until the facts are known. If the plaintiff does use the right of way excessively, an injunction may then be granted against it.</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Because of this, I will merely note Mr Donaldson's submissions on this point. He says that there is no basis in the evidence for suggesting that the use of the right of way by future occupants of the proposed units 1, 2 and 3 (as shown on the plan, Exhibit PX65) would constitute excessive use. These units basically occupy the area benefited by the easement. The easement was granted for the purpose of providing access to a freight terminal and there is nothing in the proposal which suggests that use of the right of way will be "beyond anything which was contemplated at the time of the grant" (</w:t>
      </w:r>
      <w:proofErr w:type="spellStart"/>
      <w:r w:rsidRPr="009D3F3C">
        <w:rPr>
          <w:rFonts w:ascii="Times New Roman" w:eastAsia="Times New Roman" w:hAnsi="Times New Roman" w:cs="Times New Roman"/>
          <w:b/>
          <w:bCs/>
          <w:sz w:val="24"/>
          <w:szCs w:val="24"/>
        </w:rPr>
        <w:t>Jelbert</w:t>
      </w:r>
      <w:proofErr w:type="spellEnd"/>
      <w:r w:rsidRPr="009D3F3C">
        <w:rPr>
          <w:rFonts w:ascii="Times New Roman" w:eastAsia="Times New Roman" w:hAnsi="Times New Roman" w:cs="Times New Roman"/>
          <w:b/>
          <w:bCs/>
          <w:sz w:val="24"/>
          <w:szCs w:val="24"/>
        </w:rPr>
        <w:t xml:space="preserve"> v Davis</w:t>
      </w:r>
      <w:r w:rsidRPr="009D3F3C">
        <w:rPr>
          <w:rFonts w:ascii="Times New Roman" w:eastAsia="Times New Roman" w:hAnsi="Times New Roman" w:cs="Times New Roman"/>
          <w:sz w:val="24"/>
          <w:szCs w:val="24"/>
        </w:rPr>
        <w:t xml:space="preserve"> </w:t>
      </w:r>
      <w:hyperlink r:id="rId93" w:tooltip="View LawCiteRecord" w:history="1">
        <w:r w:rsidRPr="009D3F3C">
          <w:rPr>
            <w:rFonts w:ascii="Times New Roman" w:eastAsia="Times New Roman" w:hAnsi="Times New Roman" w:cs="Times New Roman"/>
            <w:color w:val="0000FF"/>
            <w:sz w:val="24"/>
            <w:szCs w:val="24"/>
            <w:u w:val="single"/>
          </w:rPr>
          <w:t>[1968] 1 WLR 589).</w:t>
        </w:r>
      </w:hyperlink>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7. What order should I make?</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As the cross claim has failed, it should be dismissed with costs. Similarly it is clear that the plaintiff is entitled to some relief. However, as Mr Donaldson recognized at the hearing and as discussed under head 6, the relief to which the plaintiff is entitled is not as broad as set out in the summons.</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 agree with Mr Donaldson's submission that as the easement has not been abandoned, the conduct of the defendant in refusing to permit reopening of the fence to facilitate access to the dominant tenement is a clear and substantial interference with the plaintiff's rights under the terms of the right of way. In the face of such interference, the plaintiff is entitled to an injunction to prevent recurrence of the violation (Gale on </w:t>
      </w:r>
      <w:r w:rsidRPr="009D3F3C">
        <w:rPr>
          <w:rFonts w:ascii="Times New Roman" w:eastAsia="Times New Roman" w:hAnsi="Times New Roman" w:cs="Times New Roman"/>
          <w:b/>
          <w:bCs/>
          <w:sz w:val="24"/>
          <w:szCs w:val="24"/>
        </w:rPr>
        <w:t>Easements</w:t>
      </w:r>
      <w:r w:rsidRPr="009D3F3C">
        <w:rPr>
          <w:rFonts w:ascii="Times New Roman" w:eastAsia="Times New Roman" w:hAnsi="Times New Roman" w:cs="Times New Roman"/>
          <w:sz w:val="24"/>
          <w:szCs w:val="24"/>
        </w:rPr>
        <w:t xml:space="preserve"> 16</w:t>
      </w:r>
      <w:r w:rsidRPr="009D3F3C">
        <w:rPr>
          <w:rFonts w:ascii="Times New Roman" w:eastAsia="Times New Roman" w:hAnsi="Times New Roman" w:cs="Times New Roman"/>
          <w:sz w:val="24"/>
          <w:szCs w:val="24"/>
          <w:vertAlign w:val="superscript"/>
        </w:rPr>
        <w:t>th</w:t>
      </w:r>
      <w:r w:rsidRPr="009D3F3C">
        <w:rPr>
          <w:rFonts w:ascii="Times New Roman" w:eastAsia="Times New Roman" w:hAnsi="Times New Roman" w:cs="Times New Roman"/>
          <w:sz w:val="24"/>
          <w:szCs w:val="24"/>
        </w:rPr>
        <w:t xml:space="preserve"> Edition at page 502). Again it needs to be noted that the threatened and actual interference with the plaintiff's rights complained of was not limited to refusing excessive or unauthorised use of the right of way. Access was denied completely and that denial provides a sufficient and proper basis for the grant of injunction.</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I consider that the plaintiff is entitled to some declaratory and injunctive relief. However in view of the time of year, and in view of the fact the plaintiff is not currently using the land, I believe it is best to allow some time for these reasons to be studied and for the plaintiff to bring in short minutes of order in the new Term. I will list the matter for that purpose before me at 9:50 am on Wednesday 10 February 1999, but, if </w:t>
      </w:r>
      <w:proofErr w:type="gramStart"/>
      <w:r w:rsidRPr="009D3F3C">
        <w:rPr>
          <w:rFonts w:ascii="Times New Roman" w:eastAsia="Times New Roman" w:hAnsi="Times New Roman" w:cs="Times New Roman"/>
          <w:sz w:val="24"/>
          <w:szCs w:val="24"/>
        </w:rPr>
        <w:t>counsel contact</w:t>
      </w:r>
      <w:proofErr w:type="gramEnd"/>
      <w:r w:rsidRPr="009D3F3C">
        <w:rPr>
          <w:rFonts w:ascii="Times New Roman" w:eastAsia="Times New Roman" w:hAnsi="Times New Roman" w:cs="Times New Roman"/>
          <w:sz w:val="24"/>
          <w:szCs w:val="24"/>
        </w:rPr>
        <w:t xml:space="preserve"> my Associate at least the week before, some other day in that week may be substituted.</w: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t xml:space="preserve">Might I conclude by thanking counsel for the thoughtful way they each presented their evidence and </w:t>
      </w:r>
      <w:proofErr w:type="gramStart"/>
      <w:r w:rsidRPr="009D3F3C">
        <w:rPr>
          <w:rFonts w:ascii="Times New Roman" w:eastAsia="Times New Roman" w:hAnsi="Times New Roman" w:cs="Times New Roman"/>
          <w:sz w:val="24"/>
          <w:szCs w:val="24"/>
        </w:rPr>
        <w:t>submissions.</w:t>
      </w:r>
      <w:proofErr w:type="gramEnd"/>
    </w:p>
    <w:p w:rsidR="009D3F3C" w:rsidRPr="009D3F3C" w:rsidRDefault="009D3F3C" w:rsidP="009D3F3C">
      <w:pPr>
        <w:spacing w:after="0" w:line="240" w:lineRule="auto"/>
        <w:rPr>
          <w:rFonts w:ascii="Times New Roman" w:eastAsia="Times New Roman" w:hAnsi="Times New Roman" w:cs="Times New Roman"/>
          <w:sz w:val="24"/>
          <w:szCs w:val="24"/>
        </w:rPr>
      </w:pPr>
      <w:r w:rsidRPr="009D3F3C">
        <w:rPr>
          <w:rFonts w:ascii="Times New Roman" w:eastAsia="Times New Roman" w:hAnsi="Times New Roman" w:cs="Times New Roman"/>
          <w:sz w:val="24"/>
          <w:szCs w:val="24"/>
        </w:rPr>
        <w:pict>
          <v:rect id="_x0000_i1026" style="width:0;height:1.5pt" o:hralign="center" o:hrstd="t" o:hr="t" fillcolor="#a0a0a0" stroked="f"/>
        </w:pict>
      </w:r>
    </w:p>
    <w:p w:rsidR="009D3F3C" w:rsidRPr="009D3F3C" w:rsidRDefault="009D3F3C" w:rsidP="009D3F3C">
      <w:pPr>
        <w:spacing w:before="100" w:beforeAutospacing="1" w:after="100" w:afterAutospacing="1" w:line="240" w:lineRule="auto"/>
        <w:rPr>
          <w:rFonts w:ascii="Times New Roman" w:eastAsia="Times New Roman" w:hAnsi="Times New Roman" w:cs="Times New Roman"/>
          <w:sz w:val="20"/>
          <w:szCs w:val="20"/>
        </w:rPr>
      </w:pPr>
      <w:r w:rsidRPr="009D3F3C">
        <w:rPr>
          <w:rFonts w:ascii="Times New Roman" w:eastAsia="Times New Roman" w:hAnsi="Times New Roman" w:cs="Times New Roman"/>
          <w:b/>
          <w:bCs/>
          <w:sz w:val="20"/>
          <w:szCs w:val="20"/>
        </w:rPr>
        <w:t xml:space="preserve">AustLII: </w:t>
      </w:r>
      <w:hyperlink r:id="rId94" w:history="1">
        <w:r w:rsidRPr="009D3F3C">
          <w:rPr>
            <w:rFonts w:ascii="Times New Roman" w:eastAsia="Times New Roman" w:hAnsi="Times New Roman" w:cs="Times New Roman"/>
            <w:color w:val="0000FF"/>
            <w:sz w:val="20"/>
            <w:szCs w:val="20"/>
            <w:u w:val="single"/>
          </w:rPr>
          <w:t>Copyright Policy</w:t>
        </w:r>
      </w:hyperlink>
      <w:r w:rsidRPr="009D3F3C">
        <w:rPr>
          <w:rFonts w:ascii="Times New Roman" w:eastAsia="Times New Roman" w:hAnsi="Times New Roman" w:cs="Times New Roman"/>
          <w:sz w:val="20"/>
          <w:szCs w:val="20"/>
        </w:rPr>
        <w:t xml:space="preserve"> </w:t>
      </w:r>
      <w:r w:rsidRPr="009D3F3C">
        <w:rPr>
          <w:rFonts w:ascii="Times New Roman" w:eastAsia="Times New Roman" w:hAnsi="Times New Roman" w:cs="Times New Roman"/>
          <w:b/>
          <w:bCs/>
          <w:sz w:val="20"/>
          <w:szCs w:val="20"/>
        </w:rPr>
        <w:t>|</w:t>
      </w:r>
      <w:r w:rsidRPr="009D3F3C">
        <w:rPr>
          <w:rFonts w:ascii="Times New Roman" w:eastAsia="Times New Roman" w:hAnsi="Times New Roman" w:cs="Times New Roman"/>
          <w:sz w:val="20"/>
          <w:szCs w:val="20"/>
        </w:rPr>
        <w:t xml:space="preserve"> </w:t>
      </w:r>
      <w:hyperlink r:id="rId95" w:history="1">
        <w:r w:rsidRPr="009D3F3C">
          <w:rPr>
            <w:rFonts w:ascii="Times New Roman" w:eastAsia="Times New Roman" w:hAnsi="Times New Roman" w:cs="Times New Roman"/>
            <w:color w:val="0000FF"/>
            <w:sz w:val="20"/>
            <w:szCs w:val="20"/>
            <w:u w:val="single"/>
          </w:rPr>
          <w:t>Disclaimers</w:t>
        </w:r>
      </w:hyperlink>
      <w:r w:rsidRPr="009D3F3C">
        <w:rPr>
          <w:rFonts w:ascii="Times New Roman" w:eastAsia="Times New Roman" w:hAnsi="Times New Roman" w:cs="Times New Roman"/>
          <w:sz w:val="20"/>
          <w:szCs w:val="20"/>
        </w:rPr>
        <w:t xml:space="preserve"> </w:t>
      </w:r>
      <w:r w:rsidRPr="009D3F3C">
        <w:rPr>
          <w:rFonts w:ascii="Times New Roman" w:eastAsia="Times New Roman" w:hAnsi="Times New Roman" w:cs="Times New Roman"/>
          <w:b/>
          <w:bCs/>
          <w:sz w:val="20"/>
          <w:szCs w:val="20"/>
        </w:rPr>
        <w:t>|</w:t>
      </w:r>
      <w:r w:rsidRPr="009D3F3C">
        <w:rPr>
          <w:rFonts w:ascii="Times New Roman" w:eastAsia="Times New Roman" w:hAnsi="Times New Roman" w:cs="Times New Roman"/>
          <w:sz w:val="20"/>
          <w:szCs w:val="20"/>
        </w:rPr>
        <w:t xml:space="preserve"> </w:t>
      </w:r>
      <w:hyperlink r:id="rId96" w:history="1">
        <w:r w:rsidRPr="009D3F3C">
          <w:rPr>
            <w:rFonts w:ascii="Times New Roman" w:eastAsia="Times New Roman" w:hAnsi="Times New Roman" w:cs="Times New Roman"/>
            <w:color w:val="0000FF"/>
            <w:sz w:val="20"/>
            <w:szCs w:val="20"/>
            <w:u w:val="single"/>
          </w:rPr>
          <w:t>Privacy Policy</w:t>
        </w:r>
      </w:hyperlink>
      <w:r w:rsidRPr="009D3F3C">
        <w:rPr>
          <w:rFonts w:ascii="Times New Roman" w:eastAsia="Times New Roman" w:hAnsi="Times New Roman" w:cs="Times New Roman"/>
          <w:sz w:val="20"/>
          <w:szCs w:val="20"/>
        </w:rPr>
        <w:t xml:space="preserve"> </w:t>
      </w:r>
      <w:r w:rsidRPr="009D3F3C">
        <w:rPr>
          <w:rFonts w:ascii="Times New Roman" w:eastAsia="Times New Roman" w:hAnsi="Times New Roman" w:cs="Times New Roman"/>
          <w:b/>
          <w:bCs/>
          <w:sz w:val="20"/>
          <w:szCs w:val="20"/>
        </w:rPr>
        <w:t>|</w:t>
      </w:r>
      <w:r w:rsidRPr="009D3F3C">
        <w:rPr>
          <w:rFonts w:ascii="Times New Roman" w:eastAsia="Times New Roman" w:hAnsi="Times New Roman" w:cs="Times New Roman"/>
          <w:sz w:val="20"/>
          <w:szCs w:val="20"/>
        </w:rPr>
        <w:t xml:space="preserve"> </w:t>
      </w:r>
      <w:hyperlink r:id="rId97" w:history="1">
        <w:r w:rsidRPr="009D3F3C">
          <w:rPr>
            <w:rFonts w:ascii="Times New Roman" w:eastAsia="Times New Roman" w:hAnsi="Times New Roman" w:cs="Times New Roman"/>
            <w:color w:val="0000FF"/>
            <w:sz w:val="20"/>
            <w:szCs w:val="20"/>
            <w:u w:val="single"/>
          </w:rPr>
          <w:t>Feedback</w:t>
        </w:r>
      </w:hyperlink>
      <w:r w:rsidRPr="009D3F3C">
        <w:rPr>
          <w:rFonts w:ascii="Times New Roman" w:eastAsia="Times New Roman" w:hAnsi="Times New Roman" w:cs="Times New Roman"/>
          <w:sz w:val="20"/>
          <w:szCs w:val="20"/>
        </w:rPr>
        <w:br/>
        <w:t xml:space="preserve">URL: </w:t>
      </w:r>
      <w:r w:rsidRPr="009D3F3C">
        <w:rPr>
          <w:rFonts w:ascii="Times New Roman" w:eastAsia="Times New Roman" w:hAnsi="Times New Roman" w:cs="Times New Roman"/>
          <w:i/>
          <w:iCs/>
          <w:sz w:val="20"/>
          <w:szCs w:val="20"/>
        </w:rPr>
        <w:t>http://www.austlii.edu.au/au/cases/nsw/NSWSC/1998/787.html</w:t>
      </w:r>
    </w:p>
    <w:p w:rsidR="005D3730" w:rsidRDefault="005D3730"/>
    <w:sectPr w:rsidR="005D37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3F3C"/>
    <w:rsid w:val="005D3730"/>
    <w:rsid w:val="009D3F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D3F3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D3F3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3F3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D3F3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D3F3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D3F3C"/>
    <w:rPr>
      <w:color w:val="0000FF"/>
      <w:u w:val="single"/>
    </w:rPr>
  </w:style>
  <w:style w:type="paragraph" w:customStyle="1" w:styleId="make-database">
    <w:name w:val="make-database"/>
    <w:basedOn w:val="Normal"/>
    <w:rsid w:val="009D3F3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D3F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3F3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D3F3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9D3F3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3F3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D3F3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D3F3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D3F3C"/>
    <w:rPr>
      <w:color w:val="0000FF"/>
      <w:u w:val="single"/>
    </w:rPr>
  </w:style>
  <w:style w:type="paragraph" w:customStyle="1" w:styleId="make-database">
    <w:name w:val="make-database"/>
    <w:basedOn w:val="Normal"/>
    <w:rsid w:val="009D3F3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D3F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3F3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7616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ustlii.edu.au/cgi-bin/sinodisp/au/cases/nsw/NSWSC/1998/787.html?stem=0&amp;synonyms=0&amp;query=cavacourt#disp2" TargetMode="External"/><Relationship Id="rId21" Type="http://schemas.openxmlformats.org/officeDocument/2006/relationships/hyperlink" Target="http://www.austlii.edu.au/cgi-bin/sinodisp/au/cases/nsw/NSWSC/1998/787.html?stem=0&amp;synonyms=0&amp;query=cavacourt" TargetMode="External"/><Relationship Id="rId34" Type="http://schemas.openxmlformats.org/officeDocument/2006/relationships/hyperlink" Target="http://www.austlii.edu.au/au/legis/nsw/consol_act/ca1919141/" TargetMode="External"/><Relationship Id="rId42" Type="http://schemas.openxmlformats.org/officeDocument/2006/relationships/hyperlink" Target="http://www.austlii.edu.au/cgi-bin/LawCite?cit=%5b1966%5d%20VR%20596?stem=0&amp;synonyms=0&amp;query=cavacourt" TargetMode="External"/><Relationship Id="rId47" Type="http://schemas.openxmlformats.org/officeDocument/2006/relationships/hyperlink" Target="http://www.austlii.edu.au/cgi-bin/LawCite?cit=%5b1984%5d%201%20NZLR%2044?stem=0&amp;synonyms=0&amp;query=cavacourt" TargetMode="External"/><Relationship Id="rId50" Type="http://schemas.openxmlformats.org/officeDocument/2006/relationships/hyperlink" Target="http://www.austlii.edu.au/au/legis/nsw/consol_act/ca1919141/s89.html" TargetMode="External"/><Relationship Id="rId55" Type="http://schemas.openxmlformats.org/officeDocument/2006/relationships/hyperlink" Target="http://www.austlii.edu.au/cgi-bin/LawCite?cit=%281960%29%20SR%20%28NSW%29%20332?stem=0&amp;synonyms=0&amp;query=cavacourt" TargetMode="External"/><Relationship Id="rId63" Type="http://schemas.openxmlformats.org/officeDocument/2006/relationships/hyperlink" Target="http://www.austlii.edu.au/cgi-bin/LawCite?cit=%281973%29%20128%20CLR%20274?stem=0&amp;synonyms=0&amp;query=cavacourt" TargetMode="External"/><Relationship Id="rId68" Type="http://schemas.openxmlformats.org/officeDocument/2006/relationships/hyperlink" Target="http://www.worldlii.org/int/cases/EngR/1825/507.html" TargetMode="External"/><Relationship Id="rId76" Type="http://schemas.openxmlformats.org/officeDocument/2006/relationships/hyperlink" Target="http://www.austlii.edu.au/cgi-bin/LawCite?cit=319%20ER%201356?stem=0&amp;synonyms=0&amp;query=cavacourt" TargetMode="External"/><Relationship Id="rId84" Type="http://schemas.openxmlformats.org/officeDocument/2006/relationships/hyperlink" Target="http://www.austlii.edu.au/au/legis/nsw/consol_act/ca1919141/s89.html" TargetMode="External"/><Relationship Id="rId89" Type="http://schemas.openxmlformats.org/officeDocument/2006/relationships/hyperlink" Target="http://www.austlii.edu.au/cgi-bin/LawCite?cit=%281867%29%20LR%202%20CP%20577?stem=0&amp;synonyms=0&amp;query=cavacourt" TargetMode="External"/><Relationship Id="rId97" Type="http://schemas.openxmlformats.org/officeDocument/2006/relationships/hyperlink" Target="http://www.austlii.edu.au/austlii/feedback.html?stem=0&amp;synonyms=0&amp;query=cavacourt" TargetMode="External"/><Relationship Id="rId7" Type="http://schemas.openxmlformats.org/officeDocument/2006/relationships/hyperlink" Target="http://www.austlii.edu.au/" TargetMode="External"/><Relationship Id="rId71" Type="http://schemas.openxmlformats.org/officeDocument/2006/relationships/hyperlink" Target="http://www.austlii.edu.au/cgi-bin/LawCite?cit=%281979%29%2053%20Australian%20Law%20Journal%20661?stem=0&amp;synonyms=0&amp;query=cavacourt" TargetMode="External"/><Relationship Id="rId92" Type="http://schemas.openxmlformats.org/officeDocument/2006/relationships/hyperlink" Target="http://www.austlii.edu.au/cgi-bin/LawCite?cit=%5b1980%5d%20Ch%20325?stem=0&amp;synonyms=0&amp;query=cavacourt" TargetMode="External"/><Relationship Id="rId2" Type="http://schemas.microsoft.com/office/2007/relationships/stylesWithEffects" Target="stylesWithEffects.xml"/><Relationship Id="rId16" Type="http://schemas.openxmlformats.org/officeDocument/2006/relationships/hyperlink" Target="http://www.austlii.edu.au/form/search1.html?mask=au/cases/nsw/NSWSC" TargetMode="External"/><Relationship Id="rId29" Type="http://schemas.openxmlformats.org/officeDocument/2006/relationships/hyperlink" Target="http://www.austlii.edu.au/cgi-bin/sinodisp/au/cases/nsw/NSWSC/1998/787.html?stem=0&amp;synonyms=0&amp;query=cavacourt#disp3" TargetMode="External"/><Relationship Id="rId11" Type="http://schemas.openxmlformats.org/officeDocument/2006/relationships/hyperlink" Target="http://www.austlii.edu.au/austlii/feedback.html" TargetMode="External"/><Relationship Id="rId24" Type="http://schemas.openxmlformats.org/officeDocument/2006/relationships/hyperlink" Target="http://www.austlii.edu.au/cgi-bin/sinodisp/au/cases/nsw/NSWSC/1998/787.html?stem=0&amp;synonyms=0&amp;query=cavacourt#disp0" TargetMode="External"/><Relationship Id="rId32" Type="http://schemas.openxmlformats.org/officeDocument/2006/relationships/hyperlink" Target="http://www.austlii.edu.au/au/legis/nsw/consol_act/ca1919141/" TargetMode="External"/><Relationship Id="rId37" Type="http://schemas.openxmlformats.org/officeDocument/2006/relationships/hyperlink" Target="http://www.austlii.edu.au/au/legis/nsw/consol_act/ca1919141/s88.html" TargetMode="External"/><Relationship Id="rId40" Type="http://schemas.openxmlformats.org/officeDocument/2006/relationships/hyperlink" Target="http://www.austlii.edu.au/au/legis/nsw/consol_act/ca1919141/" TargetMode="External"/><Relationship Id="rId45" Type="http://schemas.openxmlformats.org/officeDocument/2006/relationships/hyperlink" Target="http://www.austlii.edu.au/cgi-bin/LawCite?cit=%281960%29%2078%20WN%20%28NSW%29%20925?stem=0&amp;synonyms=0&amp;query=cavacourt" TargetMode="External"/><Relationship Id="rId53" Type="http://schemas.openxmlformats.org/officeDocument/2006/relationships/hyperlink" Target="http://www.austlii.edu.au/cgi-bin/LawCite?cit=%5b1957%5d%202%20QB%20650?stem=0&amp;synonyms=0&amp;query=cavacourt" TargetMode="External"/><Relationship Id="rId58" Type="http://schemas.openxmlformats.org/officeDocument/2006/relationships/hyperlink" Target="http://www.austlii.edu.au/au/legis/nsw/consol_act/ca1919141/" TargetMode="External"/><Relationship Id="rId66" Type="http://schemas.openxmlformats.org/officeDocument/2006/relationships/hyperlink" Target="http://www.austlii.edu.au/cgi-bin/LawCite?cit=%5b1893%5d%20AC%20162?stem=0&amp;synonyms=0&amp;query=cavacourt" TargetMode="External"/><Relationship Id="rId74" Type="http://schemas.openxmlformats.org/officeDocument/2006/relationships/hyperlink" Target="http://www.austlii.edu.au/cgi-bin/LawCite?cit=11%20ER%201344?stem=0&amp;synonyms=0&amp;query=cavacourt" TargetMode="External"/><Relationship Id="rId79" Type="http://schemas.openxmlformats.org/officeDocument/2006/relationships/hyperlink" Target="http://www.austlii.edu.au/au/legis/nsw/consol_act/ca1919141/" TargetMode="External"/><Relationship Id="rId87" Type="http://schemas.openxmlformats.org/officeDocument/2006/relationships/hyperlink" Target="http://www.austlii.edu.au/cgi-bin/LawCite?cit=%5b1925%5d%20NZLR%20191?stem=0&amp;synonyms=0&amp;query=cavacourt" TargetMode="External"/><Relationship Id="rId5" Type="http://schemas.openxmlformats.org/officeDocument/2006/relationships/hyperlink" Target="http://www.austlii.edu.au/" TargetMode="External"/><Relationship Id="rId61" Type="http://schemas.openxmlformats.org/officeDocument/2006/relationships/hyperlink" Target="http://www.austlii.edu.au/au/legis/nsw/consol_act/ca1919141/" TargetMode="External"/><Relationship Id="rId82" Type="http://schemas.openxmlformats.org/officeDocument/2006/relationships/hyperlink" Target="http://www.austlii.edu.au/cgi-bin/LawCite?cit=%281959%29%2032%20Australian%20Law%20Journal%20382?stem=0&amp;synonyms=0&amp;query=cavacourt" TargetMode="External"/><Relationship Id="rId90" Type="http://schemas.openxmlformats.org/officeDocument/2006/relationships/hyperlink" Target="http://www.austlii.edu.au/cgi-bin/LawCite?cit=%281904%29%2074%20LJ%20Ch%20127?stem=0&amp;synonyms=0&amp;query=cavacourt" TargetMode="External"/><Relationship Id="rId95" Type="http://schemas.openxmlformats.org/officeDocument/2006/relationships/hyperlink" Target="http://www.austlii.edu.au/austlii/disclaimers.html?stem=0&amp;synonyms=0&amp;query=cavacourt" TargetMode="External"/><Relationship Id="rId19" Type="http://schemas.openxmlformats.org/officeDocument/2006/relationships/hyperlink" Target="http://www.austlii.edu.au/cgi-bin/sinosrch.cgi?method=boolean&amp;query=NSWSC+1998+787%20or%201998+NSWSC+787" TargetMode="External"/><Relationship Id="rId14" Type="http://schemas.openxmlformats.org/officeDocument/2006/relationships/hyperlink" Target="http://www.austlii.edu.au/cgi-bin/sinodisp/au/cases/nsw/NSWSC/" TargetMode="External"/><Relationship Id="rId22" Type="http://schemas.openxmlformats.org/officeDocument/2006/relationships/hyperlink" Target="http://www.austlii.edu.au/cgi-bin/sinodisp/au/cases/nsw/NSWSC/1998/787.html?stem=0&amp;synonyms=0&amp;query=cavacourt&amp;nocontext=1" TargetMode="External"/><Relationship Id="rId27" Type="http://schemas.openxmlformats.org/officeDocument/2006/relationships/image" Target="media/image3.png"/><Relationship Id="rId30" Type="http://schemas.openxmlformats.org/officeDocument/2006/relationships/hyperlink" Target="http://www.austlii.edu.au/au/legis/nsw/consol_act/rpa1900178/" TargetMode="External"/><Relationship Id="rId35" Type="http://schemas.openxmlformats.org/officeDocument/2006/relationships/hyperlink" Target="http://www.austlii.edu.au/au/legis/nsw/consol_act/ca1919141/s88.html" TargetMode="External"/><Relationship Id="rId43" Type="http://schemas.openxmlformats.org/officeDocument/2006/relationships/hyperlink" Target="http://www.austlii.edu.au/cgi-bin/LawCite?cit=%5b1972%5d%20VR%20278?stem=0&amp;synonyms=0&amp;query=cavacourt" TargetMode="External"/><Relationship Id="rId48" Type="http://schemas.openxmlformats.org/officeDocument/2006/relationships/hyperlink" Target="http://www.austlii.edu.au/cgi-bin/LawCite?cit=%281867%29%20LR%202%20CP%20577?stem=0&amp;synonyms=0&amp;query=cavacourt" TargetMode="External"/><Relationship Id="rId56" Type="http://schemas.openxmlformats.org/officeDocument/2006/relationships/hyperlink" Target="http://www.austlii.edu.au/cgi-bin/LawCite?cit=%5b1980%5d%20VR%2055?stem=0&amp;synonyms=0&amp;query=cavacourt" TargetMode="External"/><Relationship Id="rId64" Type="http://schemas.openxmlformats.org/officeDocument/2006/relationships/hyperlink" Target="http://www.austlii.edu.au/cgi-bin/LawCite?cit=%5b1979%5d%202%20NSWLR%20605?stem=0&amp;synonyms=0&amp;query=cavacourt" TargetMode="External"/><Relationship Id="rId69" Type="http://schemas.openxmlformats.org/officeDocument/2006/relationships/hyperlink" Target="http://www.austlii.edu.au/cgi-bin/LawCite?cit=%281825%29%204%20B%20%26%20C%208?stem=0&amp;synonyms=0&amp;query=cavacourt" TargetMode="External"/><Relationship Id="rId77" Type="http://schemas.openxmlformats.org/officeDocument/2006/relationships/hyperlink" Target="http://www.austlii.edu.au/cgi-bin/LawCite?cit=%5b1982%5d%201%20NSWLR%20336?stem=0&amp;synonyms=0&amp;query=cavacourt" TargetMode="External"/><Relationship Id="rId8" Type="http://schemas.openxmlformats.org/officeDocument/2006/relationships/hyperlink" Target="http://www.austlii.edu.au/databases.html" TargetMode="External"/><Relationship Id="rId51" Type="http://schemas.openxmlformats.org/officeDocument/2006/relationships/hyperlink" Target="http://www.austlii.edu.au/cgi-bin/LawCite?cit=%5b1964%2d5%5d%20NSWR%202044?stem=0&amp;synonyms=0&amp;query=cavacourt" TargetMode="External"/><Relationship Id="rId72" Type="http://schemas.openxmlformats.org/officeDocument/2006/relationships/hyperlink" Target="http://www.worldlii.org/int/cases/EngR/1865/333.html" TargetMode="External"/><Relationship Id="rId80" Type="http://schemas.openxmlformats.org/officeDocument/2006/relationships/hyperlink" Target="http://www.austlii.edu.au/cgi-bin/LawCite?cit=%281993%29%205%20BPR%2012?stem=0&amp;synonyms=0&amp;query=cavacourt" TargetMode="External"/><Relationship Id="rId85" Type="http://schemas.openxmlformats.org/officeDocument/2006/relationships/hyperlink" Target="http://www.austlii.edu.au/cgi-bin/LawCite?cit=1977%29%203%20BPR%209114?stem=0&amp;synonyms=0&amp;query=cavacourt" TargetMode="External"/><Relationship Id="rId93" Type="http://schemas.openxmlformats.org/officeDocument/2006/relationships/hyperlink" Target="http://www.austlii.edu.au/cgi-bin/LawCite?cit=%5b1968%5d%201%20WLR%20589?stem=0&amp;synonyms=0&amp;query=cavacourt" TargetMode="External"/><Relationship Id="rId98"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www.austlii.edu.au/" TargetMode="External"/><Relationship Id="rId17" Type="http://schemas.openxmlformats.org/officeDocument/2006/relationships/hyperlink" Target="http://www.austlii.edu.au/form/search1.html?mask=au/cases/nsw/NSWSC&amp;title=1" TargetMode="External"/><Relationship Id="rId25" Type="http://schemas.openxmlformats.org/officeDocument/2006/relationships/image" Target="media/image2.png"/><Relationship Id="rId33" Type="http://schemas.openxmlformats.org/officeDocument/2006/relationships/hyperlink" Target="http://www.austlii.edu.au/au/legis/nsw/consol_act/ca1919141/s88.html" TargetMode="External"/><Relationship Id="rId38" Type="http://schemas.openxmlformats.org/officeDocument/2006/relationships/hyperlink" Target="http://www.austlii.edu.au/au/legis/nsw/consol_act/ca1919141/s88.html" TargetMode="External"/><Relationship Id="rId46" Type="http://schemas.openxmlformats.org/officeDocument/2006/relationships/hyperlink" Target="http://www.austlii.edu.au/cgi-bin/LawCite?cit=%5b1962%5d%20NSWR%20762?stem=0&amp;synonyms=0&amp;query=cavacourt" TargetMode="External"/><Relationship Id="rId59" Type="http://schemas.openxmlformats.org/officeDocument/2006/relationships/hyperlink" Target="http://www.austlii.edu.au/cgi-bin/LawCite?cit=%5b1987%5d%20AC%20175?stem=0&amp;synonyms=0&amp;query=cavacourt" TargetMode="External"/><Relationship Id="rId67" Type="http://schemas.openxmlformats.org/officeDocument/2006/relationships/hyperlink" Target="http://www.austlii.edu.au/cgi-bin/LawCite?cit=%5b1968%5d%20VR%20260?stem=0&amp;synonyms=0&amp;query=cavacourt" TargetMode="External"/><Relationship Id="rId20" Type="http://schemas.openxmlformats.org/officeDocument/2006/relationships/hyperlink" Target="http://www.austlii.edu.au/cgi-bin/LawCite/?cit=1998+NSWSC+787" TargetMode="External"/><Relationship Id="rId41" Type="http://schemas.openxmlformats.org/officeDocument/2006/relationships/hyperlink" Target="http://www.austlii.edu.au/cgi-bin/LawCite?cit=%5b1956%5d%201%20QB%20261?stem=0&amp;synonyms=0&amp;query=cavacourt" TargetMode="External"/><Relationship Id="rId54" Type="http://schemas.openxmlformats.org/officeDocument/2006/relationships/hyperlink" Target="http://www.austlii.edu.au/cgi-bin/LawCite?cit=%5b1940%5d%20Ch%20835?stem=0&amp;synonyms=0&amp;query=cavacourt" TargetMode="External"/><Relationship Id="rId62" Type="http://schemas.openxmlformats.org/officeDocument/2006/relationships/hyperlink" Target="http://www.austlii.edu.au/au/cases/cth/HCA/1973/27.html" TargetMode="External"/><Relationship Id="rId70" Type="http://schemas.openxmlformats.org/officeDocument/2006/relationships/hyperlink" Target="http://www.austlii.edu.au/cgi-bin/LawCite?cit=107%20ER%20962?stem=0&amp;synonyms=0&amp;query=cavacourt" TargetMode="External"/><Relationship Id="rId75" Type="http://schemas.openxmlformats.org/officeDocument/2006/relationships/hyperlink" Target="http://www.austlii.edu.au/cgi-bin/LawCite?cit=%281869%29%20LR%205%20LRCh%20App%20163?stem=0&amp;synonyms=0&amp;query=cavacourt" TargetMode="External"/><Relationship Id="rId83" Type="http://schemas.openxmlformats.org/officeDocument/2006/relationships/hyperlink" Target="http://www.austlii.edu.au/cgi-bin/LawCite?cit=%281995%29%2071%20P%20%26%20CR%20104?stem=0&amp;synonyms=0&amp;query=cavacourt" TargetMode="External"/><Relationship Id="rId88" Type="http://schemas.openxmlformats.org/officeDocument/2006/relationships/hyperlink" Target="http://www.austlii.edu.au/cgi-bin/LawCite?cit=%5b1937%5d%20NZLR%20444?stem=0&amp;synonyms=0&amp;query=cavacourt" TargetMode="External"/><Relationship Id="rId91" Type="http://schemas.openxmlformats.org/officeDocument/2006/relationships/hyperlink" Target="http://www.austlii.edu.au/cgi-bin/LawCite?cit=%5b1925%5d%20NZLR%20191?stem=0&amp;synonyms=0&amp;query=cavacourt" TargetMode="External"/><Relationship Id="rId96" Type="http://schemas.openxmlformats.org/officeDocument/2006/relationships/hyperlink" Target="http://www.austlii.edu.au/austlii/privacy.html?stem=0&amp;synonyms=0&amp;query=cavacourt" TargetMode="External"/><Relationship Id="rId1" Type="http://schemas.openxmlformats.org/officeDocument/2006/relationships/styles" Target="styles.xml"/><Relationship Id="rId6" Type="http://schemas.openxmlformats.org/officeDocument/2006/relationships/image" Target="media/image1.jpeg"/><Relationship Id="rId15" Type="http://schemas.openxmlformats.org/officeDocument/2006/relationships/hyperlink" Target="http://www.austlii.edu.au/cgi-bin/sinodisp/au/cases/nsw/NSWSC/1998/" TargetMode="External"/><Relationship Id="rId23" Type="http://schemas.openxmlformats.org/officeDocument/2006/relationships/hyperlink" Target="http://www.austlii.edu.au/austlii/help/cases.html" TargetMode="External"/><Relationship Id="rId28" Type="http://schemas.openxmlformats.org/officeDocument/2006/relationships/hyperlink" Target="http://www.austlii.edu.au/cgi-bin/sinodisp/au/cases/nsw/NSWSC/1998/787.html?stem=0&amp;synonyms=0&amp;query=cavacourt#disp1" TargetMode="External"/><Relationship Id="rId36" Type="http://schemas.openxmlformats.org/officeDocument/2006/relationships/hyperlink" Target="http://www.austlii.edu.au/cgi-bin/LawCite?cit=%281977%29%201%20BPR%209655?stem=0&amp;synonyms=0&amp;query=cavacourt" TargetMode="External"/><Relationship Id="rId49" Type="http://schemas.openxmlformats.org/officeDocument/2006/relationships/hyperlink" Target="http://www.austlii.edu.au/cgi-bin/LawCite?cit=%5b1971%5d%20NZLR%20502?stem=0&amp;synonyms=0&amp;query=cavacourt" TargetMode="External"/><Relationship Id="rId57" Type="http://schemas.openxmlformats.org/officeDocument/2006/relationships/hyperlink" Target="http://www.austlii.edu.au/au/legis/nsw/consol_act/ca1919141/s89.html" TargetMode="External"/><Relationship Id="rId10" Type="http://schemas.openxmlformats.org/officeDocument/2006/relationships/hyperlink" Target="http://www.austlii.edu.au/forms/search1.html" TargetMode="External"/><Relationship Id="rId31" Type="http://schemas.openxmlformats.org/officeDocument/2006/relationships/hyperlink" Target="http://www.austlii.edu.au/au/legis/nsw/consol_act/ca1919141/s88.html" TargetMode="External"/><Relationship Id="rId44" Type="http://schemas.openxmlformats.org/officeDocument/2006/relationships/hyperlink" Target="http://www.austlii.edu.au/cgi-bin/LawCite?cit=%5b1969%5d%20NZLR%20232?stem=0&amp;synonyms=0&amp;query=cavacourt" TargetMode="External"/><Relationship Id="rId52" Type="http://schemas.openxmlformats.org/officeDocument/2006/relationships/hyperlink" Target="http://www.austlii.edu.au/cgi-bin/LawCite?cit=%5b1968%5d%202%20All%20ER%20682?stem=0&amp;synonyms=0&amp;query=cavacourt" TargetMode="External"/><Relationship Id="rId60" Type="http://schemas.openxmlformats.org/officeDocument/2006/relationships/hyperlink" Target="http://www.austlii.edu.au/au/legis/nsw/consol_act/ca1919141/s89.html" TargetMode="External"/><Relationship Id="rId65" Type="http://schemas.openxmlformats.org/officeDocument/2006/relationships/hyperlink" Target="http://www.austlii.edu.au/cgi-bin/LawCite?cit=%281972%29%201%20BPR%209209?stem=0&amp;synonyms=0&amp;query=cavacourt" TargetMode="External"/><Relationship Id="rId73" Type="http://schemas.openxmlformats.org/officeDocument/2006/relationships/hyperlink" Target="http://www.austlii.edu.au/cgi-bin/LawCite?cit=%281865%29%2011%20HLCas%20290?stem=0&amp;synonyms=0&amp;query=cavacourt" TargetMode="External"/><Relationship Id="rId78" Type="http://schemas.openxmlformats.org/officeDocument/2006/relationships/hyperlink" Target="http://www.austlii.edu.au/au/legis/nsw/consol_act/ca1919141/s89.html" TargetMode="External"/><Relationship Id="rId81" Type="http://schemas.openxmlformats.org/officeDocument/2006/relationships/hyperlink" Target="http://www.austlii.edu.au/au/legis/nsw/consol_act/ca1919141/s89.html" TargetMode="External"/><Relationship Id="rId86" Type="http://schemas.openxmlformats.org/officeDocument/2006/relationships/hyperlink" Target="http://www.austlii.edu.au/cgi-bin/LawCite?cit=%281878%29%208%20Ch%20D%20415?stem=0&amp;synonyms=0&amp;query=cavacourt" TargetMode="External"/><Relationship Id="rId94" Type="http://schemas.openxmlformats.org/officeDocument/2006/relationships/hyperlink" Target="http://www.austlii.edu.au/austlii/copyright.html?stem=0&amp;synonyms=0&amp;query=cavacourt" TargetMode="External"/><Relationship Id="rId9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worldlii.org" TargetMode="External"/><Relationship Id="rId13" Type="http://schemas.openxmlformats.org/officeDocument/2006/relationships/hyperlink" Target="http://www.austlii.edu.au/databases.html" TargetMode="External"/><Relationship Id="rId18" Type="http://schemas.openxmlformats.org/officeDocument/2006/relationships/hyperlink" Target="http://www.austlii.edu.au/cgi-bin/sinodisp/au/cases/nsw/NSWSC/recent.html" TargetMode="External"/><Relationship Id="rId39" Type="http://schemas.openxmlformats.org/officeDocument/2006/relationships/hyperlink" Target="http://www.austlii.edu.au/au/legis/nsw/consol_act/ca1919141/s89.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7724</Words>
  <Characters>44030</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Townsend</dc:creator>
  <cp:lastModifiedBy>Matthew Townsend</cp:lastModifiedBy>
  <cp:revision>1</cp:revision>
  <dcterms:created xsi:type="dcterms:W3CDTF">2012-10-09T00:34:00Z</dcterms:created>
  <dcterms:modified xsi:type="dcterms:W3CDTF">2012-10-09T00:35:00Z</dcterms:modified>
</cp:coreProperties>
</file>