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C0B" w:rsidRPr="001C0C0B" w:rsidRDefault="001C0C0B" w:rsidP="001C0C0B">
      <w:r w:rsidRPr="001C0C0B">
        <w:rPr>
          <w:b/>
          <w:bCs/>
        </w:rPr>
        <w:t>PROPRIETORS STRATA PLAN NO. 9,968 AND ANOTHER v</w:t>
      </w:r>
      <w:proofErr w:type="gramStart"/>
      <w:r w:rsidRPr="001C0C0B">
        <w:rPr>
          <w:b/>
          <w:bCs/>
        </w:rPr>
        <w:t>.</w:t>
      </w:r>
      <w:proofErr w:type="gramEnd"/>
      <w:r w:rsidRPr="001C0C0B">
        <w:rPr>
          <w:b/>
          <w:bCs/>
        </w:rPr>
        <w:br/>
        <w:t>PROPRIETORS STRATA PLAN NO. 11,173 AND OTHERS</w:t>
      </w:r>
    </w:p>
    <w:p w:rsidR="001C0C0B" w:rsidRPr="001C0C0B" w:rsidRDefault="001C0C0B" w:rsidP="001C0C0B">
      <w:bookmarkStart w:id="0" w:name="ORIGHIT_1"/>
      <w:bookmarkStart w:id="1" w:name="HIT_1"/>
      <w:bookmarkEnd w:id="0"/>
      <w:bookmarkEnd w:id="1"/>
      <w:r w:rsidRPr="001C0C0B">
        <w:rPr>
          <w:b/>
          <w:bCs/>
        </w:rPr>
        <w:t>Equity Division</w:t>
      </w:r>
      <w:r w:rsidRPr="001C0C0B">
        <w:t>: </w:t>
      </w:r>
      <w:r w:rsidRPr="001C0C0B">
        <w:rPr>
          <w:b/>
          <w:bCs/>
        </w:rPr>
        <w:t>Needham</w:t>
      </w:r>
      <w:r w:rsidRPr="001C0C0B">
        <w:t> J.</w:t>
      </w:r>
    </w:p>
    <w:p w:rsidR="001C0C0B" w:rsidRPr="001C0C0B" w:rsidRDefault="001C0C0B" w:rsidP="001C0C0B">
      <w:r w:rsidRPr="001C0C0B">
        <w:t>Sept. 17, 20, 30; March 14, 15; June 21, 1977.</w:t>
      </w:r>
    </w:p>
    <w:p w:rsidR="001C0C0B" w:rsidRPr="001C0C0B" w:rsidRDefault="001C0C0B" w:rsidP="001C0C0B">
      <w:pPr>
        <w:rPr>
          <w:i/>
          <w:iCs/>
        </w:rPr>
      </w:pPr>
      <w:r w:rsidRPr="001C0C0B">
        <w:rPr>
          <w:i/>
          <w:iCs/>
        </w:rPr>
        <w:t>Torrens System — Right of way, registered on certificate of title of both</w:t>
      </w:r>
      <w:r w:rsidRPr="001C0C0B">
        <w:rPr>
          <w:i/>
          <w:iCs/>
        </w:rPr>
        <w:br/>
        <w:t xml:space="preserve">dominant and </w:t>
      </w:r>
      <w:proofErr w:type="spellStart"/>
      <w:r w:rsidRPr="001C0C0B">
        <w:rPr>
          <w:i/>
          <w:iCs/>
        </w:rPr>
        <w:t>servient</w:t>
      </w:r>
      <w:proofErr w:type="spellEnd"/>
      <w:r w:rsidRPr="001C0C0B">
        <w:rPr>
          <w:i/>
          <w:iCs/>
        </w:rPr>
        <w:t xml:space="preserve"> tenements — Circumstances in which abandon</w:t>
      </w:r>
      <w:r w:rsidRPr="001C0C0B">
        <w:rPr>
          <w:i/>
          <w:iCs/>
        </w:rPr>
        <w:softHyphen/>
      </w:r>
      <w:r w:rsidRPr="001C0C0B">
        <w:rPr>
          <w:i/>
          <w:iCs/>
        </w:rPr>
        <w:br/>
      </w:r>
      <w:proofErr w:type="spellStart"/>
      <w:r w:rsidRPr="001C0C0B">
        <w:rPr>
          <w:i/>
          <w:iCs/>
        </w:rPr>
        <w:t>ment</w:t>
      </w:r>
      <w:proofErr w:type="spellEnd"/>
      <w:r w:rsidRPr="001C0C0B">
        <w:rPr>
          <w:i/>
          <w:iCs/>
        </w:rPr>
        <w:t xml:space="preserve"> will be inferred —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Act, 1919, s. 89 (1) (b).</w:t>
      </w:r>
    </w:p>
    <w:p w:rsidR="001C0C0B" w:rsidRPr="001C0C0B" w:rsidRDefault="001C0C0B" w:rsidP="001C0C0B">
      <w:r w:rsidRPr="001C0C0B">
        <w:t>In 1928, a landowner subdivided suburban land into three blocks. One had a frontage</w:t>
      </w:r>
      <w:r w:rsidRPr="001C0C0B">
        <w:br/>
        <w:t>to the street and the other two were “battle-axe” blocks, that is to say they were situated</w:t>
      </w:r>
      <w:r w:rsidRPr="001C0C0B">
        <w:br/>
        <w:t>behind the first block, each having a strip of land 6 feet 3 inches wide, (a total of 12 feet 6</w:t>
      </w:r>
      <w:r w:rsidRPr="001C0C0B">
        <w:br/>
        <w:t>inches, or 3.66 metres, the total hereinafter being called “the strip”) running to the street</w:t>
      </w:r>
      <w:r w:rsidRPr="001C0C0B">
        <w:br/>
        <w:t>along the northern boundary of the first block. The first block had a right of way over the</w:t>
      </w:r>
      <w:r w:rsidRPr="001C0C0B">
        <w:br/>
        <w:t xml:space="preserve">strip, created by </w:t>
      </w:r>
      <w:proofErr w:type="spellStart"/>
      <w:r w:rsidRPr="001C0C0B">
        <w:t>Reconveyance</w:t>
      </w:r>
      <w:proofErr w:type="spellEnd"/>
      <w:r w:rsidRPr="001C0C0B">
        <w:t xml:space="preserve"> Book 1509 No. 287.</w:t>
      </w:r>
    </w:p>
    <w:p w:rsidR="001C0C0B" w:rsidRPr="001C0C0B" w:rsidRDefault="001C0C0B" w:rsidP="001C0C0B">
      <w:r w:rsidRPr="001C0C0B">
        <w:t>Some months later, a block of flats called “</w:t>
      </w:r>
      <w:proofErr w:type="spellStart"/>
      <w:r w:rsidRPr="001C0C0B">
        <w:t>Rotherwood</w:t>
      </w:r>
      <w:proofErr w:type="spellEnd"/>
      <w:r w:rsidRPr="001C0C0B">
        <w:t>” was erected on the first block</w:t>
      </w:r>
      <w:proofErr w:type="gramStart"/>
      <w:r w:rsidRPr="001C0C0B">
        <w:t>,</w:t>
      </w:r>
      <w:proofErr w:type="gramEnd"/>
      <w:r w:rsidRPr="001C0C0B">
        <w:br/>
        <w:t>having a northern building line some 4 feet 8 inches from the southern boundary of the</w:t>
      </w:r>
      <w:r w:rsidRPr="001C0C0B">
        <w:br/>
        <w:t>strip. Later a block of flats called “Coronel” was erected on the second block, which was</w:t>
      </w:r>
      <w:r w:rsidRPr="001C0C0B">
        <w:br/>
        <w:t>immediately behind “</w:t>
      </w:r>
      <w:proofErr w:type="spellStart"/>
      <w:r w:rsidRPr="001C0C0B">
        <w:t>Rotherwood</w:t>
      </w:r>
      <w:proofErr w:type="spellEnd"/>
      <w:r w:rsidRPr="001C0C0B">
        <w:t>”; and a block of flats called “</w:t>
      </w:r>
      <w:proofErr w:type="spellStart"/>
      <w:r w:rsidRPr="001C0C0B">
        <w:t>Maronor</w:t>
      </w:r>
      <w:proofErr w:type="spellEnd"/>
      <w:r w:rsidRPr="001C0C0B">
        <w:t>” was erected on</w:t>
      </w:r>
      <w:r w:rsidRPr="001C0C0B">
        <w:br/>
        <w:t>the third block, which was situated immediately to the north of the second block. The</w:t>
      </w:r>
      <w:r w:rsidRPr="001C0C0B">
        <w:br/>
        <w:t>three blocks will hereinafter be referred to by the names of the three blocks of flats.</w:t>
      </w:r>
    </w:p>
    <w:p w:rsidR="001C0C0B" w:rsidRPr="001C0C0B" w:rsidRDefault="001C0C0B" w:rsidP="001C0C0B">
      <w:r w:rsidRPr="001C0C0B">
        <w:t>The title to “</w:t>
      </w:r>
      <w:proofErr w:type="spellStart"/>
      <w:r w:rsidRPr="001C0C0B">
        <w:t>Rotherwood</w:t>
      </w:r>
      <w:proofErr w:type="spellEnd"/>
      <w:r w:rsidRPr="001C0C0B">
        <w:t>” was brought under the </w:t>
      </w:r>
      <w:r w:rsidRPr="001C0C0B">
        <w:rPr>
          <w:i/>
          <w:iCs/>
        </w:rPr>
        <w:t>Real Property Act</w:t>
      </w:r>
      <w:r w:rsidRPr="001C0C0B">
        <w:t>, 1900, in 1934; and</w:t>
      </w:r>
      <w:r w:rsidRPr="001C0C0B">
        <w:br/>
        <w:t>the certificate of title current prior to the registration of </w:t>
      </w:r>
      <w:bookmarkStart w:id="2" w:name="ORIGHIT_3"/>
      <w:bookmarkStart w:id="3" w:name="HIT_3"/>
      <w:bookmarkEnd w:id="2"/>
      <w:bookmarkEnd w:id="3"/>
      <w:r w:rsidRPr="001C0C0B">
        <w:rPr>
          <w:b/>
          <w:bCs/>
        </w:rPr>
        <w:t>Strata</w:t>
      </w:r>
      <w:r w:rsidRPr="001C0C0B">
        <w:t> Plan No. 11,173 showed, in</w:t>
      </w:r>
      <w:r w:rsidRPr="001C0C0B">
        <w:br/>
        <w:t>the Second Schedule: “Right of way created by Deed Book 1509 No. 187 appurtenant to</w:t>
      </w:r>
      <w:r w:rsidRPr="001C0C0B">
        <w:br/>
        <w:t>the land above described affecting the piece of land 3.66 metres wide shown in the plan</w:t>
      </w:r>
      <w:r w:rsidRPr="001C0C0B">
        <w:br/>
        <w:t>hereon.” It was conceded that the notification of the appurtenant easement continued on</w:t>
      </w:r>
      <w:r w:rsidRPr="001C0C0B">
        <w:br/>
        <w:t>the certificates of title issued upon registration of </w:t>
      </w:r>
      <w:bookmarkStart w:id="4" w:name="ORIGHIT_4"/>
      <w:bookmarkStart w:id="5" w:name="HIT_4"/>
      <w:bookmarkEnd w:id="4"/>
      <w:bookmarkEnd w:id="5"/>
      <w:r w:rsidRPr="001C0C0B">
        <w:rPr>
          <w:b/>
          <w:bCs/>
        </w:rPr>
        <w:t>Strata</w:t>
      </w:r>
      <w:r w:rsidRPr="001C0C0B">
        <w:t> Plan No. 11,173.</w:t>
      </w:r>
    </w:p>
    <w:p w:rsidR="001C0C0B" w:rsidRPr="001C0C0B" w:rsidRDefault="001C0C0B" w:rsidP="001C0C0B">
      <w:r w:rsidRPr="001C0C0B">
        <w:t>In 1957, after “Coronel” and “</w:t>
      </w:r>
      <w:proofErr w:type="spellStart"/>
      <w:r w:rsidRPr="001C0C0B">
        <w:t>Maronor</w:t>
      </w:r>
      <w:proofErr w:type="spellEnd"/>
      <w:r w:rsidRPr="001C0C0B">
        <w:t>” had been brought under the </w:t>
      </w:r>
      <w:r w:rsidRPr="001C0C0B">
        <w:rPr>
          <w:i/>
          <w:iCs/>
        </w:rPr>
        <w:t>Real Property Act</w:t>
      </w:r>
      <w:proofErr w:type="gramStart"/>
      <w:r w:rsidRPr="001C0C0B">
        <w:t>,</w:t>
      </w:r>
      <w:proofErr w:type="gramEnd"/>
      <w:r w:rsidRPr="001C0C0B">
        <w:br/>
        <w:t>and at a time when they were united in one ownership, the registered proprietor</w:t>
      </w:r>
      <w:r w:rsidRPr="001C0C0B">
        <w:br/>
      </w:r>
      <w:proofErr w:type="spellStart"/>
      <w:r w:rsidRPr="001C0C0B">
        <w:t>transferred“Coronel</w:t>
      </w:r>
      <w:proofErr w:type="spellEnd"/>
      <w:r w:rsidRPr="001C0C0B">
        <w:t>”, and granted a right of way over that part of “</w:t>
      </w:r>
      <w:proofErr w:type="spellStart"/>
      <w:r w:rsidRPr="001C0C0B">
        <w:t>Maronor</w:t>
      </w:r>
      <w:proofErr w:type="spellEnd"/>
      <w:r w:rsidRPr="001C0C0B">
        <w:t>” which was</w:t>
      </w:r>
      <w:r w:rsidRPr="001C0C0B">
        <w:br/>
        <w:t>part of the 3.66 metre strip, reserving to the transferor a similar right of way over that</w:t>
      </w:r>
      <w:r w:rsidRPr="001C0C0B">
        <w:br/>
        <w:t>part of “Coronel” which was part of the strip. The transfer was expressed to be subject to</w:t>
      </w:r>
      <w:r w:rsidRPr="001C0C0B">
        <w:br/>
        <w:t xml:space="preserve">the right of way granted by </w:t>
      </w:r>
      <w:proofErr w:type="spellStart"/>
      <w:r w:rsidRPr="001C0C0B">
        <w:t>Reconveyance</w:t>
      </w:r>
      <w:proofErr w:type="spellEnd"/>
      <w:r w:rsidRPr="001C0C0B">
        <w:t xml:space="preserve"> Book 1519 No. 287.</w:t>
      </w:r>
    </w:p>
    <w:p w:rsidR="001C0C0B" w:rsidRPr="001C0C0B" w:rsidRDefault="001C0C0B" w:rsidP="001C0C0B">
      <w:r w:rsidRPr="001C0C0B">
        <w:t>Each of the certificates of title to “Coronel” and “</w:t>
      </w:r>
      <w:proofErr w:type="spellStart"/>
      <w:r w:rsidRPr="001C0C0B">
        <w:t>Maronor</w:t>
      </w:r>
      <w:proofErr w:type="spellEnd"/>
      <w:r w:rsidRPr="001C0C0B">
        <w:t>” showed the land to be</w:t>
      </w:r>
      <w:r w:rsidRPr="001C0C0B">
        <w:br/>
        <w:t xml:space="preserve">burdened by a right of way over the strip “created by </w:t>
      </w:r>
      <w:proofErr w:type="spellStart"/>
      <w:r w:rsidRPr="001C0C0B">
        <w:t>Reconveyance</w:t>
      </w:r>
      <w:proofErr w:type="spellEnd"/>
      <w:r w:rsidRPr="001C0C0B">
        <w:t xml:space="preserve"> Book 1509 No. 287”.</w:t>
      </w:r>
    </w:p>
    <w:p w:rsidR="001C0C0B" w:rsidRPr="001C0C0B" w:rsidRDefault="001C0C0B" w:rsidP="001C0C0B">
      <w:r w:rsidRPr="001C0C0B">
        <w:t>In 1976 the second and third defendants purchased “</w:t>
      </w:r>
      <w:proofErr w:type="spellStart"/>
      <w:r w:rsidRPr="001C0C0B">
        <w:t>Rotherwood</w:t>
      </w:r>
      <w:proofErr w:type="spellEnd"/>
      <w:r w:rsidRPr="001C0C0B">
        <w:t>” with the intention of</w:t>
      </w:r>
      <w:r w:rsidRPr="001C0C0B">
        <w:br/>
        <w:t>repairing and redecorating the flats and selling them as </w:t>
      </w:r>
      <w:bookmarkStart w:id="6" w:name="ORIGHIT_5"/>
      <w:bookmarkStart w:id="7" w:name="HIT_5"/>
      <w:bookmarkEnd w:id="6"/>
      <w:bookmarkEnd w:id="7"/>
      <w:r w:rsidRPr="001C0C0B">
        <w:rPr>
          <w:b/>
          <w:bCs/>
        </w:rPr>
        <w:t>strata</w:t>
      </w:r>
      <w:r w:rsidRPr="001C0C0B">
        <w:t> units. Part of the plan was</w:t>
      </w:r>
      <w:r w:rsidRPr="001C0C0B">
        <w:br/>
        <w:t>to use the right of way over the strip for vehicular access to the land at the rear of the</w:t>
      </w:r>
      <w:r w:rsidRPr="001C0C0B">
        <w:br/>
        <w:t>building, which was to be concreted and used for loading and unloading wheeled traffic</w:t>
      </w:r>
      <w:proofErr w:type="gramStart"/>
      <w:r w:rsidRPr="001C0C0B">
        <w:t>,</w:t>
      </w:r>
      <w:proofErr w:type="gramEnd"/>
      <w:r w:rsidRPr="001C0C0B">
        <w:br/>
        <w:t>and for parking six cars. When the second and third defendants commenced this work,</w:t>
      </w:r>
      <w:r w:rsidRPr="001C0C0B">
        <w:br/>
        <w:t>the plaintiffs, being the statutory bodies of “Coronel” and “</w:t>
      </w:r>
      <w:proofErr w:type="spellStart"/>
      <w:r w:rsidRPr="001C0C0B">
        <w:t>Maronor</w:t>
      </w:r>
      <w:proofErr w:type="spellEnd"/>
      <w:r w:rsidRPr="001C0C0B">
        <w:t>”, commenced</w:t>
      </w:r>
      <w:r w:rsidRPr="001C0C0B">
        <w:br/>
      </w:r>
      <w:r w:rsidRPr="001C0C0B">
        <w:lastRenderedPageBreak/>
        <w:t>proceedings on the basis (1) that the strip was limited to pedestrian user by the owners of</w:t>
      </w:r>
      <w:r w:rsidRPr="001C0C0B">
        <w:br/>
        <w:t>the dominant tenement; and, if that were not so, the owners of “</w:t>
      </w:r>
      <w:proofErr w:type="spellStart"/>
      <w:r w:rsidRPr="001C0C0B">
        <w:t>Rotherwood</w:t>
      </w:r>
      <w:proofErr w:type="spellEnd"/>
      <w:r w:rsidRPr="001C0C0B">
        <w:t>” “by their</w:t>
      </w:r>
      <w:r w:rsidRPr="001C0C0B">
        <w:br/>
        <w:t>acts or omissions may reasonably be considered to have abandoned the easement wholly</w:t>
      </w:r>
      <w:r w:rsidRPr="001C0C0B">
        <w:br/>
        <w:t>or in part within s. 89 (1) (b) of the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</w:t>
      </w:r>
      <w:r w:rsidRPr="001C0C0B">
        <w:t>, 1919”—meaning that the right to</w:t>
      </w:r>
      <w:r w:rsidRPr="001C0C0B">
        <w:br/>
        <w:t>use the strip otherwise than on foot, if initially granted, had been abandoned.</w:t>
      </w:r>
    </w:p>
    <w:p w:rsidR="001C0C0B" w:rsidRPr="001C0C0B" w:rsidRDefault="001C0C0B" w:rsidP="001C0C0B">
      <w:r w:rsidRPr="001C0C0B">
        <w:t>At the hearing, the judge found (1) that the occupants of “Coronel” and “</w:t>
      </w:r>
      <w:proofErr w:type="spellStart"/>
      <w:r w:rsidRPr="001C0C0B">
        <w:t>Maronor</w:t>
      </w:r>
      <w:proofErr w:type="spellEnd"/>
      <w:r w:rsidRPr="001C0C0B">
        <w:t>” had</w:t>
      </w:r>
      <w:r w:rsidRPr="001C0C0B">
        <w:br/>
        <w:t>not used the strip for the passage of vehicles, because of the drop in levels from the street;</w:t>
      </w:r>
      <w:r w:rsidRPr="001C0C0B">
        <w:br/>
        <w:t>(2) that vehicular use of the strip by others had been extremely limited, although, of</w:t>
      </w:r>
      <w:r w:rsidRPr="001C0C0B">
        <w:br/>
        <w:t>recent times, builders' vehicles had used it, and previously moving vans had done so</w:t>
      </w:r>
      <w:r w:rsidRPr="001C0C0B">
        <w:br/>
        <w:t>when tenants were coming to or leaving “</w:t>
      </w:r>
      <w:proofErr w:type="spellStart"/>
      <w:r w:rsidRPr="001C0C0B">
        <w:t>Rotherwood</w:t>
      </w:r>
      <w:proofErr w:type="spellEnd"/>
      <w:r w:rsidRPr="001C0C0B">
        <w:t>”; (3) that the grantees had erected</w:t>
      </w:r>
      <w:r w:rsidRPr="001C0C0B">
        <w:br/>
        <w:t>a garden and a fence which, unless removed, made the use by them of the right of way to</w:t>
      </w:r>
      <w:r w:rsidRPr="001C0C0B">
        <w:br/>
        <w:t>the rear of “</w:t>
      </w:r>
      <w:proofErr w:type="spellStart"/>
      <w:r w:rsidRPr="001C0C0B">
        <w:t>Rotherwood</w:t>
      </w:r>
      <w:proofErr w:type="spellEnd"/>
      <w:r w:rsidRPr="001C0C0B">
        <w:t>” impossible; (4) that there were electric light poles down the</w:t>
      </w:r>
    </w:p>
    <w:p w:rsidR="001C0C0B" w:rsidRPr="001C0C0B" w:rsidRDefault="001C0C0B" w:rsidP="001C0C0B">
      <w:bookmarkStart w:id="8" w:name="PAGE_606"/>
      <w:bookmarkStart w:id="9" w:name="TAAB"/>
      <w:bookmarkEnd w:id="8"/>
      <w:bookmarkEnd w:id="9"/>
      <w:r w:rsidRPr="001C0C0B">
        <w:rPr>
          <w:i/>
          <w:iCs/>
        </w:rPr>
        <w:t>[1979] 2 NSWLR 605 at 606</w:t>
      </w:r>
    </w:p>
    <w:p w:rsidR="001C0C0B" w:rsidRPr="001C0C0B" w:rsidRDefault="001C0C0B" w:rsidP="001C0C0B">
      <w:proofErr w:type="gramStart"/>
      <w:r w:rsidRPr="001C0C0B">
        <w:t>middle</w:t>
      </w:r>
      <w:proofErr w:type="gramEnd"/>
      <w:r w:rsidRPr="001C0C0B">
        <w:t xml:space="preserve"> of the strip, which did not, however, prevent wheeled traffic, and (5) that there</w:t>
      </w:r>
      <w:r w:rsidRPr="001C0C0B">
        <w:br/>
        <w:t>was no vehicle entry provided for at the street kerb opposite the strip.</w:t>
      </w:r>
    </w:p>
    <w:p w:rsidR="001C0C0B" w:rsidRPr="001C0C0B" w:rsidRDefault="001C0C0B" w:rsidP="001C0C0B">
      <w:r w:rsidRPr="001C0C0B">
        <w:rPr>
          <w:i/>
          <w:iCs/>
        </w:rPr>
        <w:t>Held</w:t>
      </w:r>
      <w:r w:rsidRPr="001C0C0B">
        <w:t>: (1) The subsequent conduct of the parties (in this case non user by the owners of</w:t>
      </w:r>
      <w:r w:rsidRPr="001C0C0B">
        <w:br/>
        <w:t>the dominant tenement) cannot be called in aid in the construction of the grant of an</w:t>
      </w:r>
      <w:r w:rsidRPr="001C0C0B">
        <w:br/>
        <w:t>easement such as a right of way, unless such conduct amounts to an estoppel.</w:t>
      </w:r>
    </w:p>
    <w:p w:rsidR="001C0C0B" w:rsidRPr="001C0C0B" w:rsidRDefault="001C0C0B" w:rsidP="001C0C0B">
      <w:r w:rsidRPr="001C0C0B">
        <w:rPr>
          <w:i/>
          <w:iCs/>
        </w:rPr>
        <w:t>White v. Grand Hotel Eastbourne Ltd.</w:t>
      </w:r>
      <w:r w:rsidRPr="001C0C0B">
        <w:t> [1913] 1 Ch. 113, at p. 116; </w:t>
      </w:r>
      <w:r w:rsidRPr="001C0C0B">
        <w:rPr>
          <w:i/>
          <w:iCs/>
        </w:rPr>
        <w:t>James Miller &amp;</w:t>
      </w:r>
      <w:r w:rsidRPr="001C0C0B">
        <w:rPr>
          <w:i/>
          <w:iCs/>
        </w:rPr>
        <w:br/>
        <w:t>Partners Ltd. v. Whitworth Street Estates (Manchester) Ltd.</w:t>
      </w:r>
      <w:r w:rsidRPr="001C0C0B">
        <w:t> [1970] A.C. 583, at pp. 603,</w:t>
      </w:r>
      <w:r w:rsidRPr="001C0C0B">
        <w:br/>
        <w:t>606, 611, 614, 615 and </w:t>
      </w:r>
      <w:r w:rsidRPr="001C0C0B">
        <w:rPr>
          <w:i/>
          <w:iCs/>
        </w:rPr>
        <w:t xml:space="preserve">L. Schuler A.G. v. </w:t>
      </w:r>
      <w:proofErr w:type="spellStart"/>
      <w:r w:rsidRPr="001C0C0B">
        <w:rPr>
          <w:i/>
          <w:iCs/>
        </w:rPr>
        <w:t>Wickman</w:t>
      </w:r>
      <w:proofErr w:type="spellEnd"/>
      <w:r w:rsidRPr="001C0C0B">
        <w:rPr>
          <w:i/>
          <w:iCs/>
        </w:rPr>
        <w:t xml:space="preserve"> Machine Tool Sales Co. Ltd.</w:t>
      </w:r>
      <w:r w:rsidRPr="001C0C0B">
        <w:t> [1974]</w:t>
      </w:r>
      <w:r w:rsidRPr="001C0C0B">
        <w:br/>
        <w:t>A.C. 235, followed.</w:t>
      </w:r>
    </w:p>
    <w:p w:rsidR="001C0C0B" w:rsidRPr="001C0C0B" w:rsidRDefault="001C0C0B" w:rsidP="001C0C0B">
      <w:proofErr w:type="spellStart"/>
      <w:r w:rsidRPr="001C0C0B">
        <w:rPr>
          <w:i/>
          <w:iCs/>
        </w:rPr>
        <w:t>Watcham</w:t>
      </w:r>
      <w:proofErr w:type="spellEnd"/>
      <w:r w:rsidRPr="001C0C0B">
        <w:rPr>
          <w:i/>
          <w:iCs/>
        </w:rPr>
        <w:t xml:space="preserve"> v. Attorney-General of East Africa Protectorate</w:t>
      </w:r>
      <w:r w:rsidRPr="001C0C0B">
        <w:t> [1919] A.C. 533, at p. 540</w:t>
      </w:r>
      <w:proofErr w:type="gramStart"/>
      <w:r w:rsidRPr="001C0C0B">
        <w:t>,</w:t>
      </w:r>
      <w:proofErr w:type="gramEnd"/>
      <w:r w:rsidRPr="001C0C0B">
        <w:br/>
        <w:t>distinguished.</w:t>
      </w:r>
    </w:p>
    <w:p w:rsidR="001C0C0B" w:rsidRPr="001C0C0B" w:rsidRDefault="001C0C0B" w:rsidP="001C0C0B">
      <w:r w:rsidRPr="001C0C0B">
        <w:rPr>
          <w:i/>
          <w:iCs/>
        </w:rPr>
        <w:t xml:space="preserve">Administration of Territory of Papua and New Guinea v. </w:t>
      </w:r>
      <w:proofErr w:type="spellStart"/>
      <w:r w:rsidRPr="001C0C0B">
        <w:rPr>
          <w:i/>
          <w:iCs/>
        </w:rPr>
        <w:t>Daera</w:t>
      </w:r>
      <w:proofErr w:type="spellEnd"/>
      <w:r w:rsidRPr="001C0C0B">
        <w:rPr>
          <w:i/>
          <w:iCs/>
        </w:rPr>
        <w:t xml:space="preserve"> </w:t>
      </w:r>
      <w:proofErr w:type="spellStart"/>
      <w:r w:rsidRPr="001C0C0B">
        <w:rPr>
          <w:i/>
          <w:iCs/>
        </w:rPr>
        <w:t>Guba</w:t>
      </w:r>
      <w:proofErr w:type="spellEnd"/>
      <w:r w:rsidRPr="001C0C0B">
        <w:t> (1973) 130 C.L.R</w:t>
      </w:r>
      <w:proofErr w:type="gramStart"/>
      <w:r w:rsidRPr="001C0C0B">
        <w:t>.</w:t>
      </w:r>
      <w:proofErr w:type="gramEnd"/>
      <w:r w:rsidRPr="001C0C0B">
        <w:br/>
        <w:t>353, at p. 446, referred to.</w:t>
      </w:r>
    </w:p>
    <w:p w:rsidR="001C0C0B" w:rsidRPr="001C0C0B" w:rsidRDefault="001C0C0B" w:rsidP="001C0C0B">
      <w:r w:rsidRPr="001C0C0B">
        <w:t>(2) The expression “right of way” is not ambiguous. In different contexts it may mean</w:t>
      </w:r>
      <w:r w:rsidRPr="001C0C0B">
        <w:br/>
        <w:t>different things, but, in construing the expression, the Court is required only to find its</w:t>
      </w:r>
      <w:r w:rsidRPr="001C0C0B">
        <w:br/>
        <w:t>meaning in the context in which it appears, which, of course, involves an examination of</w:t>
      </w:r>
      <w:r w:rsidRPr="001C0C0B">
        <w:br/>
        <w:t>the surrounding circumstances at the time of the grant.</w:t>
      </w:r>
    </w:p>
    <w:p w:rsidR="001C0C0B" w:rsidRPr="001C0C0B" w:rsidRDefault="001C0C0B" w:rsidP="001C0C0B">
      <w:r w:rsidRPr="001C0C0B">
        <w:rPr>
          <w:i/>
          <w:iCs/>
        </w:rPr>
        <w:t xml:space="preserve">St. </w:t>
      </w:r>
      <w:proofErr w:type="spellStart"/>
      <w:r w:rsidRPr="001C0C0B">
        <w:rPr>
          <w:i/>
          <w:iCs/>
        </w:rPr>
        <w:t>Edmundsbury</w:t>
      </w:r>
      <w:proofErr w:type="spellEnd"/>
      <w:r w:rsidRPr="001C0C0B">
        <w:rPr>
          <w:i/>
          <w:iCs/>
        </w:rPr>
        <w:t xml:space="preserve"> and Ipswich Diocesan Board of Finance v. Clark (No. 2)</w:t>
      </w:r>
      <w:r w:rsidRPr="001C0C0B">
        <w:t> [1975] 1</w:t>
      </w:r>
      <w:r w:rsidRPr="001C0C0B">
        <w:br/>
        <w:t>W.L.R. 468, at p. 477; [1975] 1 All E.R. 772, at p. 780, applied.</w:t>
      </w:r>
    </w:p>
    <w:p w:rsidR="001C0C0B" w:rsidRPr="001C0C0B" w:rsidRDefault="001C0C0B" w:rsidP="001C0C0B">
      <w:r w:rsidRPr="001C0C0B">
        <w:t>(3) In the present case, the fact that a right of way some 12 feet wide was granted to the</w:t>
      </w:r>
      <w:r w:rsidRPr="001C0C0B">
        <w:br/>
        <w:t>owners who already had a footway from the street to the rear of their building some 4 feet</w:t>
      </w:r>
      <w:r w:rsidRPr="001C0C0B">
        <w:br/>
        <w:t>8 inches wide was conclusive that a vehicular way, and not a footway, was intended</w:t>
      </w:r>
      <w:proofErr w:type="gramStart"/>
      <w:r w:rsidRPr="001C0C0B">
        <w:t>,</w:t>
      </w:r>
      <w:proofErr w:type="gramEnd"/>
      <w:r w:rsidRPr="001C0C0B">
        <w:br/>
        <w:t>because in the circumstances, the grant of a footway would have been superfluous.</w:t>
      </w:r>
    </w:p>
    <w:p w:rsidR="001C0C0B" w:rsidRPr="001C0C0B" w:rsidRDefault="001C0C0B" w:rsidP="001C0C0B">
      <w:r w:rsidRPr="001C0C0B">
        <w:rPr>
          <w:i/>
          <w:iCs/>
        </w:rPr>
        <w:t>Keefe v. Amor</w:t>
      </w:r>
      <w:r w:rsidRPr="001C0C0B">
        <w:t> [1965] 1 Q.B. 334, at p. 345, referred to.</w:t>
      </w:r>
    </w:p>
    <w:p w:rsidR="001C0C0B" w:rsidRPr="001C0C0B" w:rsidRDefault="001C0C0B" w:rsidP="001C0C0B">
      <w:r w:rsidRPr="001C0C0B">
        <w:lastRenderedPageBreak/>
        <w:t>(4) (</w:t>
      </w:r>
      <w:proofErr w:type="gramStart"/>
      <w:r w:rsidRPr="001C0C0B">
        <w:t>a</w:t>
      </w:r>
      <w:proofErr w:type="gramEnd"/>
      <w:r w:rsidRPr="001C0C0B">
        <w:t>) Where, as here, the grant of an easement creates a parcel of rights, the grantee</w:t>
      </w:r>
      <w:r w:rsidRPr="001C0C0B">
        <w:br/>
        <w:t>may, by reason of his appropriate acts or omissions, be held to have abandoned one or</w:t>
      </w:r>
      <w:r w:rsidRPr="001C0C0B">
        <w:br/>
        <w:t>more of such rights.</w:t>
      </w:r>
    </w:p>
    <w:p w:rsidR="001C0C0B" w:rsidRPr="001C0C0B" w:rsidRDefault="001C0C0B" w:rsidP="001C0C0B">
      <w:r w:rsidRPr="001C0C0B">
        <w:rPr>
          <w:i/>
          <w:iCs/>
        </w:rPr>
        <w:t>Webster v. Strong</w:t>
      </w:r>
      <w:r w:rsidRPr="001C0C0B">
        <w:t> [1926] V.L.R. 509, followed.</w:t>
      </w:r>
    </w:p>
    <w:p w:rsidR="001C0C0B" w:rsidRPr="001C0C0B" w:rsidRDefault="001C0C0B" w:rsidP="001C0C0B">
      <w:r w:rsidRPr="001C0C0B">
        <w:rPr>
          <w:i/>
          <w:iCs/>
        </w:rPr>
        <w:t>Keewatin Power Co. Ltd. v. Lake of the Woods Milling Co. Ltd.</w:t>
      </w:r>
      <w:r w:rsidRPr="001C0C0B">
        <w:t> [1930] A.C. 640 and</w:t>
      </w:r>
      <w:r w:rsidRPr="001C0C0B">
        <w:br/>
      </w:r>
      <w:proofErr w:type="spellStart"/>
      <w:r w:rsidRPr="001C0C0B">
        <w:rPr>
          <w:i/>
          <w:iCs/>
        </w:rPr>
        <w:t>Bulstrode</w:t>
      </w:r>
      <w:proofErr w:type="spellEnd"/>
      <w:r w:rsidRPr="001C0C0B">
        <w:rPr>
          <w:i/>
          <w:iCs/>
        </w:rPr>
        <w:t xml:space="preserve"> v. Lambert</w:t>
      </w:r>
      <w:r w:rsidRPr="001C0C0B">
        <w:t> [1953] 1 W.L.R. 1064; [1953] 2 All E.R. 728, distinguished.</w:t>
      </w:r>
    </w:p>
    <w:p w:rsidR="001C0C0B" w:rsidRPr="001C0C0B" w:rsidRDefault="001C0C0B" w:rsidP="001C0C0B">
      <w:r w:rsidRPr="001C0C0B">
        <w:t>(b) (</w:t>
      </w:r>
      <w:proofErr w:type="spellStart"/>
      <w:r w:rsidRPr="001C0C0B">
        <w:t>i</w:t>
      </w:r>
      <w:proofErr w:type="spellEnd"/>
      <w:r w:rsidRPr="001C0C0B">
        <w:t>) In a case where, as here, notification of an easement appears on the certificates of</w:t>
      </w:r>
      <w:r w:rsidRPr="001C0C0B">
        <w:br/>
        <w:t xml:space="preserve">title of the owners of both the dominant and </w:t>
      </w:r>
      <w:proofErr w:type="spellStart"/>
      <w:r w:rsidRPr="001C0C0B">
        <w:t>servient</w:t>
      </w:r>
      <w:proofErr w:type="spellEnd"/>
      <w:r w:rsidRPr="001C0C0B">
        <w:t xml:space="preserve"> tenements, and the question is</w:t>
      </w:r>
      <w:r w:rsidRPr="001C0C0B">
        <w:br/>
        <w:t>whether or not the easement should be held to have been abandoned, the Court must</w:t>
      </w:r>
      <w:r w:rsidRPr="001C0C0B">
        <w:br/>
        <w:t>have regard to the acts or omissions of registered proprietors who were predecessors in</w:t>
      </w:r>
      <w:r w:rsidRPr="001C0C0B">
        <w:br/>
        <w:t>title of the present registered proprietor, as well as the present registered proprietor</w:t>
      </w:r>
      <w:r w:rsidRPr="001C0C0B">
        <w:br/>
        <w:t>himself.</w:t>
      </w:r>
    </w:p>
    <w:p w:rsidR="001C0C0B" w:rsidRPr="001C0C0B" w:rsidRDefault="001C0C0B" w:rsidP="001C0C0B">
      <w:proofErr w:type="spellStart"/>
      <w:r w:rsidRPr="001C0C0B">
        <w:rPr>
          <w:i/>
          <w:iCs/>
        </w:rPr>
        <w:t>Treweeke</w:t>
      </w:r>
      <w:proofErr w:type="spellEnd"/>
      <w:r w:rsidRPr="001C0C0B">
        <w:rPr>
          <w:i/>
          <w:iCs/>
        </w:rPr>
        <w:t xml:space="preserve"> v. 36 Wolseley Road Pty. Ltd.</w:t>
      </w:r>
      <w:r w:rsidRPr="001C0C0B">
        <w:t> (1973) 128 C.L.R. 274, at pp. 282, 285, 286, 287</w:t>
      </w:r>
      <w:proofErr w:type="gramStart"/>
      <w:r w:rsidRPr="001C0C0B">
        <w:t>,</w:t>
      </w:r>
      <w:proofErr w:type="gramEnd"/>
      <w:r w:rsidRPr="001C0C0B">
        <w:br/>
        <w:t>302, followed.</w:t>
      </w:r>
    </w:p>
    <w:p w:rsidR="001C0C0B" w:rsidRPr="001C0C0B" w:rsidRDefault="001C0C0B" w:rsidP="001C0C0B">
      <w:r w:rsidRPr="001C0C0B">
        <w:t>(ii) The Court may be entitled, however, as a matter of discretion, to take account of the</w:t>
      </w:r>
      <w:r w:rsidRPr="001C0C0B">
        <w:br/>
        <w:t>fact that a person who has recently become registered as the owner of a dominant</w:t>
      </w:r>
      <w:r w:rsidRPr="001C0C0B">
        <w:br/>
        <w:t>tenement has bought on the faith of the register, and has actively pursued his rights</w:t>
      </w:r>
      <w:r w:rsidRPr="001C0C0B">
        <w:br/>
        <w:t>under the easement.</w:t>
      </w:r>
    </w:p>
    <w:p w:rsidR="001C0C0B" w:rsidRPr="001C0C0B" w:rsidRDefault="001C0C0B" w:rsidP="001C0C0B">
      <w:proofErr w:type="spellStart"/>
      <w:proofErr w:type="gramStart"/>
      <w:r w:rsidRPr="001C0C0B">
        <w:rPr>
          <w:i/>
          <w:iCs/>
        </w:rPr>
        <w:t>Treweeke</w:t>
      </w:r>
      <w:proofErr w:type="spellEnd"/>
      <w:r w:rsidRPr="001C0C0B">
        <w:rPr>
          <w:i/>
          <w:iCs/>
        </w:rPr>
        <w:t xml:space="preserve"> v. 36 Wolseley Road Pty. Ltd.</w:t>
      </w:r>
      <w:r w:rsidRPr="001C0C0B">
        <w:t> (1973) 128 C.L.R. 274, at p. 287, followed.</w:t>
      </w:r>
      <w:proofErr w:type="gramEnd"/>
    </w:p>
    <w:p w:rsidR="001C0C0B" w:rsidRPr="001C0C0B" w:rsidRDefault="001C0C0B" w:rsidP="001C0C0B">
      <w:r w:rsidRPr="001C0C0B">
        <w:t>(c) In the present case, the inference should not be drawn that the persons for the time</w:t>
      </w:r>
      <w:r w:rsidRPr="001C0C0B">
        <w:br/>
        <w:t>being, or from time to time, entitled to the easement, by their acts or omissions, had</w:t>
      </w:r>
      <w:r w:rsidRPr="001C0C0B">
        <w:br/>
        <w:t xml:space="preserve">abandoned the same, in so far as it conferred upon their rights to pass and </w:t>
      </w:r>
      <w:proofErr w:type="spellStart"/>
      <w:r w:rsidRPr="001C0C0B">
        <w:t>repass</w:t>
      </w:r>
      <w:proofErr w:type="spellEnd"/>
      <w:r w:rsidRPr="001C0C0B">
        <w:t xml:space="preserve"> on the</w:t>
      </w:r>
      <w:r w:rsidRPr="001C0C0B">
        <w:br/>
        <w:t>site with motor vehicles.</w:t>
      </w:r>
    </w:p>
    <w:p w:rsidR="001C0C0B" w:rsidRPr="001C0C0B" w:rsidRDefault="001C0C0B" w:rsidP="001C0C0B">
      <w:r w:rsidRPr="001C0C0B">
        <w:t>(d) This was because</w:t>
      </w:r>
    </w:p>
    <w:p w:rsidR="001C0C0B" w:rsidRPr="001C0C0B" w:rsidRDefault="001C0C0B" w:rsidP="001C0C0B">
      <w:r w:rsidRPr="001C0C0B">
        <w:t>(</w:t>
      </w:r>
      <w:proofErr w:type="spellStart"/>
      <w:r w:rsidRPr="001C0C0B">
        <w:t>i</w:t>
      </w:r>
      <w:proofErr w:type="spellEnd"/>
      <w:r w:rsidRPr="001C0C0B">
        <w:t xml:space="preserve">) </w:t>
      </w:r>
      <w:proofErr w:type="gramStart"/>
      <w:r w:rsidRPr="001C0C0B">
        <w:t>it</w:t>
      </w:r>
      <w:proofErr w:type="gramEnd"/>
      <w:r w:rsidRPr="001C0C0B">
        <w:t xml:space="preserve"> is one thing not to assert an intention to use a way, and another thing to assert an</w:t>
      </w:r>
      <w:r w:rsidRPr="001C0C0B">
        <w:br/>
        <w:t>intention to abandon it;</w:t>
      </w:r>
    </w:p>
    <w:p w:rsidR="001C0C0B" w:rsidRPr="001C0C0B" w:rsidRDefault="001C0C0B" w:rsidP="001C0C0B">
      <w:r w:rsidRPr="001C0C0B">
        <w:rPr>
          <w:i/>
          <w:iCs/>
        </w:rPr>
        <w:t>James v. Stevenson</w:t>
      </w:r>
      <w:r w:rsidRPr="001C0C0B">
        <w:t> [1893] A.C. 162, at p. 168, applied;</w:t>
      </w:r>
    </w:p>
    <w:p w:rsidR="001C0C0B" w:rsidRPr="001C0C0B" w:rsidRDefault="001C0C0B" w:rsidP="001C0C0B">
      <w:r w:rsidRPr="001C0C0B">
        <w:t xml:space="preserve">(ii) </w:t>
      </w:r>
      <w:proofErr w:type="gramStart"/>
      <w:r w:rsidRPr="001C0C0B">
        <w:t>non-user</w:t>
      </w:r>
      <w:proofErr w:type="gramEnd"/>
      <w:r w:rsidRPr="001C0C0B">
        <w:t xml:space="preserve"> alone is insufficient to establish abandonment;</w:t>
      </w:r>
    </w:p>
    <w:p w:rsidR="001C0C0B" w:rsidRPr="001C0C0B" w:rsidRDefault="001C0C0B" w:rsidP="001C0C0B">
      <w:r w:rsidRPr="001C0C0B">
        <w:rPr>
          <w:i/>
          <w:iCs/>
        </w:rPr>
        <w:t>Swan v. Sinclair</w:t>
      </w:r>
      <w:r w:rsidRPr="001C0C0B">
        <w:t> [1925] A.C. 227, applied;</w:t>
      </w:r>
    </w:p>
    <w:p w:rsidR="001C0C0B" w:rsidRPr="001C0C0B" w:rsidRDefault="001C0C0B" w:rsidP="001C0C0B">
      <w:r w:rsidRPr="001C0C0B">
        <w:t xml:space="preserve">(iii) </w:t>
      </w:r>
      <w:proofErr w:type="gramStart"/>
      <w:r w:rsidRPr="001C0C0B">
        <w:t>abandonment</w:t>
      </w:r>
      <w:proofErr w:type="gramEnd"/>
      <w:r w:rsidRPr="001C0C0B">
        <w:t xml:space="preserve"> is not lightly to be inferred;</w:t>
      </w:r>
    </w:p>
    <w:p w:rsidR="001C0C0B" w:rsidRPr="001C0C0B" w:rsidRDefault="001C0C0B" w:rsidP="001C0C0B">
      <w:proofErr w:type="spellStart"/>
      <w:proofErr w:type="gramStart"/>
      <w:r w:rsidRPr="001C0C0B">
        <w:rPr>
          <w:i/>
          <w:iCs/>
        </w:rPr>
        <w:t>Gotobed</w:t>
      </w:r>
      <w:proofErr w:type="spellEnd"/>
      <w:r w:rsidRPr="001C0C0B">
        <w:rPr>
          <w:i/>
          <w:iCs/>
        </w:rPr>
        <w:t xml:space="preserve"> v. </w:t>
      </w:r>
      <w:proofErr w:type="spellStart"/>
      <w:r w:rsidRPr="001C0C0B">
        <w:rPr>
          <w:i/>
          <w:iCs/>
        </w:rPr>
        <w:t>Pridmore</w:t>
      </w:r>
      <w:proofErr w:type="spellEnd"/>
      <w:r w:rsidRPr="001C0C0B">
        <w:t> (1970) 115 Sol. Jo.</w:t>
      </w:r>
      <w:proofErr w:type="gramEnd"/>
      <w:r w:rsidRPr="001C0C0B">
        <w:t xml:space="preserve"> 78, applied;</w:t>
      </w:r>
    </w:p>
    <w:p w:rsidR="001C0C0B" w:rsidRPr="001C0C0B" w:rsidRDefault="001C0C0B" w:rsidP="001C0C0B">
      <w:r w:rsidRPr="001C0C0B">
        <w:t>(iv) abandonment of an easement can only be treated as having taken place where the</w:t>
      </w:r>
      <w:r w:rsidRPr="001C0C0B">
        <w:br/>
        <w:t>person entitled to it has demonstrated a fixed intention never at any time thereafter to</w:t>
      </w:r>
      <w:r w:rsidRPr="001C0C0B">
        <w:br/>
        <w:t>assert the right himself, or to attempt to transmit it to anyone else;</w:t>
      </w:r>
    </w:p>
    <w:p w:rsidR="001C0C0B" w:rsidRPr="001C0C0B" w:rsidRDefault="001C0C0B" w:rsidP="001C0C0B">
      <w:proofErr w:type="spellStart"/>
      <w:r w:rsidRPr="001C0C0B">
        <w:rPr>
          <w:i/>
          <w:iCs/>
        </w:rPr>
        <w:lastRenderedPageBreak/>
        <w:t>Tehidy</w:t>
      </w:r>
      <w:proofErr w:type="spellEnd"/>
      <w:r w:rsidRPr="001C0C0B">
        <w:rPr>
          <w:i/>
          <w:iCs/>
        </w:rPr>
        <w:t xml:space="preserve"> Minerals Ltd. v. Norman</w:t>
      </w:r>
      <w:r w:rsidRPr="001C0C0B">
        <w:t> [1971] 2 Q.B. 528, at p. 553, applied;</w:t>
      </w:r>
    </w:p>
    <w:p w:rsidR="001C0C0B" w:rsidRPr="001C0C0B" w:rsidRDefault="001C0C0B" w:rsidP="001C0C0B">
      <w:bookmarkStart w:id="10" w:name="PAGE_607"/>
      <w:bookmarkStart w:id="11" w:name="TAAC"/>
      <w:bookmarkEnd w:id="10"/>
      <w:bookmarkEnd w:id="11"/>
      <w:r w:rsidRPr="001C0C0B">
        <w:rPr>
          <w:i/>
          <w:iCs/>
        </w:rPr>
        <w:t>[1979] 2 NSWLR 605 at 607</w:t>
      </w:r>
    </w:p>
    <w:p w:rsidR="001C0C0B" w:rsidRPr="001C0C0B" w:rsidRDefault="001C0C0B" w:rsidP="001C0C0B">
      <w:r w:rsidRPr="001C0C0B">
        <w:t xml:space="preserve">(v) </w:t>
      </w:r>
      <w:proofErr w:type="gramStart"/>
      <w:r w:rsidRPr="001C0C0B">
        <w:t>abandonment</w:t>
      </w:r>
      <w:proofErr w:type="gramEnd"/>
      <w:r w:rsidRPr="001C0C0B">
        <w:t xml:space="preserve"> is a question of fact, or of inference from proved circumstances, a</w:t>
      </w:r>
      <w:r w:rsidRPr="001C0C0B">
        <w:br/>
        <w:t>substantial onus being placed on the grantor to show that the facts lead to the inference;</w:t>
      </w:r>
      <w:r w:rsidRPr="001C0C0B">
        <w:br/>
        <w:t>and because</w:t>
      </w:r>
    </w:p>
    <w:p w:rsidR="001C0C0B" w:rsidRPr="001C0C0B" w:rsidRDefault="001C0C0B" w:rsidP="001C0C0B">
      <w:r w:rsidRPr="001C0C0B">
        <w:t xml:space="preserve">(vi) </w:t>
      </w:r>
      <w:proofErr w:type="gramStart"/>
      <w:r w:rsidRPr="001C0C0B">
        <w:t>the</w:t>
      </w:r>
      <w:proofErr w:type="gramEnd"/>
      <w:r w:rsidRPr="001C0C0B">
        <w:t xml:space="preserve"> plaintiffs had not discharged this onus.</w:t>
      </w:r>
    </w:p>
    <w:p w:rsidR="001C0C0B" w:rsidRPr="001C0C0B" w:rsidRDefault="001C0C0B" w:rsidP="001C0C0B">
      <w:r w:rsidRPr="001C0C0B">
        <w:rPr>
          <w:b/>
          <w:bCs/>
        </w:rPr>
        <w:t>CASES CITED.</w:t>
      </w:r>
    </w:p>
    <w:p w:rsidR="001C0C0B" w:rsidRPr="001C0C0B" w:rsidRDefault="001C0C0B" w:rsidP="001C0C0B">
      <w:r w:rsidRPr="001C0C0B">
        <w:t>The following cases are cited in the judgment</w:t>
      </w:r>
      <w:proofErr w:type="gramStart"/>
      <w:r w:rsidRPr="001C0C0B">
        <w:t>:</w:t>
      </w:r>
      <w:proofErr w:type="gramEnd"/>
      <w:r w:rsidRPr="001C0C0B">
        <w:br/>
      </w:r>
      <w:r w:rsidRPr="001C0C0B">
        <w:rPr>
          <w:i/>
          <w:iCs/>
        </w:rPr>
        <w:t xml:space="preserve">Administration of Territory of Papua and New Guinea v. </w:t>
      </w:r>
      <w:proofErr w:type="spellStart"/>
      <w:r w:rsidRPr="001C0C0B">
        <w:rPr>
          <w:i/>
          <w:iCs/>
        </w:rPr>
        <w:t>Daera</w:t>
      </w:r>
      <w:proofErr w:type="spellEnd"/>
      <w:r w:rsidRPr="001C0C0B">
        <w:rPr>
          <w:i/>
          <w:iCs/>
        </w:rPr>
        <w:t xml:space="preserve"> </w:t>
      </w:r>
      <w:proofErr w:type="spellStart"/>
      <w:r w:rsidRPr="001C0C0B">
        <w:rPr>
          <w:i/>
          <w:iCs/>
        </w:rPr>
        <w:t>Guba</w:t>
      </w:r>
      <w:proofErr w:type="spellEnd"/>
      <w:r w:rsidRPr="001C0C0B">
        <w:t> (1973) 130 C.L.R. 353.</w:t>
      </w:r>
      <w:r w:rsidRPr="001C0C0B">
        <w:br/>
      </w:r>
      <w:proofErr w:type="spellStart"/>
      <w:r w:rsidRPr="001C0C0B">
        <w:rPr>
          <w:i/>
          <w:iCs/>
        </w:rPr>
        <w:t>Breskvar</w:t>
      </w:r>
      <w:proofErr w:type="spellEnd"/>
      <w:r w:rsidRPr="001C0C0B">
        <w:rPr>
          <w:i/>
          <w:iCs/>
        </w:rPr>
        <w:t xml:space="preserve"> </w:t>
      </w:r>
      <w:proofErr w:type="gramStart"/>
      <w:r w:rsidRPr="001C0C0B">
        <w:rPr>
          <w:i/>
          <w:iCs/>
        </w:rPr>
        <w:t>v. Wall</w:t>
      </w:r>
      <w:r w:rsidRPr="001C0C0B">
        <w:t> (1971) 126 C.L.R. 376</w:t>
      </w:r>
      <w:proofErr w:type="gramEnd"/>
      <w:r w:rsidRPr="001C0C0B">
        <w:t>.</w:t>
      </w:r>
      <w:r w:rsidRPr="001C0C0B">
        <w:br/>
      </w:r>
      <w:proofErr w:type="spellStart"/>
      <w:proofErr w:type="gramStart"/>
      <w:r w:rsidRPr="001C0C0B">
        <w:rPr>
          <w:i/>
          <w:iCs/>
        </w:rPr>
        <w:t>Bulstrode</w:t>
      </w:r>
      <w:proofErr w:type="spellEnd"/>
      <w:r w:rsidRPr="001C0C0B">
        <w:rPr>
          <w:i/>
          <w:iCs/>
        </w:rPr>
        <w:t xml:space="preserve"> v. Lambert</w:t>
      </w:r>
      <w:r w:rsidRPr="001C0C0B">
        <w:t> [1953] 1 W.L.R. 1064; [1953] 2 All E.R. 728.</w:t>
      </w:r>
      <w:proofErr w:type="gramEnd"/>
      <w:r w:rsidRPr="001C0C0B">
        <w:br/>
      </w:r>
      <w:r w:rsidRPr="001C0C0B">
        <w:rPr>
          <w:i/>
          <w:iCs/>
        </w:rPr>
        <w:t>Cannon v. Villars</w:t>
      </w:r>
      <w:r w:rsidRPr="001C0C0B">
        <w:t> (1878) 8 Ch. D. 415.</w:t>
      </w:r>
      <w:r w:rsidRPr="001C0C0B">
        <w:br/>
      </w:r>
      <w:proofErr w:type="gramStart"/>
      <w:r w:rsidRPr="001C0C0B">
        <w:rPr>
          <w:i/>
          <w:iCs/>
        </w:rPr>
        <w:t>Cook v. Bath Corporation</w:t>
      </w:r>
      <w:r w:rsidRPr="001C0C0B">
        <w:t> (1868) L.R. 6 Eq. 177.</w:t>
      </w:r>
      <w:proofErr w:type="gramEnd"/>
      <w:r w:rsidRPr="001C0C0B">
        <w:br/>
      </w:r>
      <w:proofErr w:type="gramStart"/>
      <w:r w:rsidRPr="001C0C0B">
        <w:rPr>
          <w:i/>
          <w:iCs/>
        </w:rPr>
        <w:t>Frazer v. Walker</w:t>
      </w:r>
      <w:r w:rsidRPr="001C0C0B">
        <w:t> [1967] 1 A.C. 569.</w:t>
      </w:r>
      <w:proofErr w:type="gramEnd"/>
      <w:r w:rsidRPr="001C0C0B">
        <w:br/>
      </w:r>
      <w:proofErr w:type="spellStart"/>
      <w:proofErr w:type="gramStart"/>
      <w:r w:rsidRPr="001C0C0B">
        <w:rPr>
          <w:i/>
          <w:iCs/>
        </w:rPr>
        <w:t>Gotobed</w:t>
      </w:r>
      <w:proofErr w:type="spellEnd"/>
      <w:r w:rsidRPr="001C0C0B">
        <w:rPr>
          <w:i/>
          <w:iCs/>
        </w:rPr>
        <w:t xml:space="preserve"> v. </w:t>
      </w:r>
      <w:proofErr w:type="spellStart"/>
      <w:r w:rsidRPr="001C0C0B">
        <w:rPr>
          <w:i/>
          <w:iCs/>
        </w:rPr>
        <w:t>Pridmore</w:t>
      </w:r>
      <w:proofErr w:type="spellEnd"/>
      <w:r w:rsidRPr="001C0C0B">
        <w:t> (1970) 115 Sol. Jo.</w:t>
      </w:r>
      <w:proofErr w:type="gramEnd"/>
      <w:r w:rsidRPr="001C0C0B">
        <w:t xml:space="preserve"> 78</w:t>
      </w:r>
      <w:proofErr w:type="gramStart"/>
      <w:r w:rsidRPr="001C0C0B">
        <w:t>.</w:t>
      </w:r>
      <w:proofErr w:type="gramEnd"/>
      <w:r w:rsidRPr="001C0C0B">
        <w:br/>
      </w:r>
      <w:r w:rsidRPr="001C0C0B">
        <w:rPr>
          <w:i/>
          <w:iCs/>
        </w:rPr>
        <w:t>James v. Stevenson</w:t>
      </w:r>
      <w:r w:rsidRPr="001C0C0B">
        <w:t> [1893] A.C. 162.</w:t>
      </w:r>
      <w:r w:rsidRPr="001C0C0B">
        <w:br/>
      </w:r>
      <w:proofErr w:type="gramStart"/>
      <w:r w:rsidRPr="001C0C0B">
        <w:rPr>
          <w:i/>
          <w:iCs/>
        </w:rPr>
        <w:t>James Miller &amp; Partners Ltd. v. Whitworth Street Estates (Manchester) Ltd.</w:t>
      </w:r>
      <w:r w:rsidRPr="001C0C0B">
        <w:t> [1970] A.C. 583.</w:t>
      </w:r>
      <w:proofErr w:type="gramEnd"/>
      <w:r w:rsidRPr="001C0C0B">
        <w:br/>
      </w:r>
      <w:proofErr w:type="gramStart"/>
      <w:r w:rsidRPr="001C0C0B">
        <w:rPr>
          <w:i/>
          <w:iCs/>
        </w:rPr>
        <w:t xml:space="preserve">Johnstone v. </w:t>
      </w:r>
      <w:proofErr w:type="spellStart"/>
      <w:r w:rsidRPr="001C0C0B">
        <w:rPr>
          <w:i/>
          <w:iCs/>
        </w:rPr>
        <w:t>Holdway</w:t>
      </w:r>
      <w:proofErr w:type="spellEnd"/>
      <w:r w:rsidRPr="001C0C0B">
        <w:t> [1963] 1 Q.B. 601.</w:t>
      </w:r>
      <w:proofErr w:type="gramEnd"/>
      <w:r w:rsidRPr="001C0C0B">
        <w:br/>
      </w:r>
      <w:proofErr w:type="gramStart"/>
      <w:r w:rsidRPr="001C0C0B">
        <w:rPr>
          <w:i/>
          <w:iCs/>
        </w:rPr>
        <w:t>Keefe v. Amor</w:t>
      </w:r>
      <w:r w:rsidRPr="001C0C0B">
        <w:t> [1965] 1 Q.B. 334.</w:t>
      </w:r>
      <w:proofErr w:type="gramEnd"/>
      <w:r w:rsidRPr="001C0C0B">
        <w:br/>
      </w:r>
      <w:proofErr w:type="gramStart"/>
      <w:r w:rsidRPr="001C0C0B">
        <w:rPr>
          <w:i/>
          <w:iCs/>
        </w:rPr>
        <w:t>Keewatin Power Co. Ltd. v. Lake of the Woods Milling Co. Ltd.</w:t>
      </w:r>
      <w:r w:rsidRPr="001C0C0B">
        <w:t> [1930] A.C. 640.</w:t>
      </w:r>
      <w:proofErr w:type="gramEnd"/>
      <w:r w:rsidRPr="001C0C0B">
        <w:br/>
      </w:r>
      <w:r w:rsidRPr="001C0C0B">
        <w:rPr>
          <w:i/>
          <w:iCs/>
        </w:rPr>
        <w:t xml:space="preserve">L. Schuler A.G. v. </w:t>
      </w:r>
      <w:proofErr w:type="spellStart"/>
      <w:r w:rsidRPr="001C0C0B">
        <w:rPr>
          <w:i/>
          <w:iCs/>
        </w:rPr>
        <w:t>Wickman</w:t>
      </w:r>
      <w:proofErr w:type="spellEnd"/>
      <w:r w:rsidRPr="001C0C0B">
        <w:rPr>
          <w:i/>
          <w:iCs/>
        </w:rPr>
        <w:t xml:space="preserve"> Machine Tool Sales Ltd.</w:t>
      </w:r>
      <w:r w:rsidRPr="001C0C0B">
        <w:t> [1974] A.C. 235.</w:t>
      </w:r>
      <w:r w:rsidRPr="001C0C0B">
        <w:br/>
      </w:r>
      <w:proofErr w:type="gramStart"/>
      <w:r w:rsidRPr="001C0C0B">
        <w:rPr>
          <w:i/>
          <w:iCs/>
        </w:rPr>
        <w:t>R. v. Chorley</w:t>
      </w:r>
      <w:r w:rsidRPr="001C0C0B">
        <w:t> (1848) 12 Q.B. 515; 116 E.R. 960.</w:t>
      </w:r>
      <w:proofErr w:type="gramEnd"/>
      <w:r w:rsidRPr="001C0C0B">
        <w:br/>
      </w:r>
      <w:proofErr w:type="gramStart"/>
      <w:r w:rsidRPr="001C0C0B">
        <w:rPr>
          <w:i/>
          <w:iCs/>
        </w:rPr>
        <w:t xml:space="preserve">Riley v. </w:t>
      </w:r>
      <w:proofErr w:type="spellStart"/>
      <w:r w:rsidRPr="001C0C0B">
        <w:rPr>
          <w:i/>
          <w:iCs/>
        </w:rPr>
        <w:t>Penttila</w:t>
      </w:r>
      <w:proofErr w:type="spellEnd"/>
      <w:r w:rsidRPr="001C0C0B">
        <w:t> [1974] V.R. 547.</w:t>
      </w:r>
      <w:proofErr w:type="gramEnd"/>
      <w:r w:rsidRPr="001C0C0B">
        <w:br/>
      </w:r>
      <w:r w:rsidRPr="001C0C0B">
        <w:rPr>
          <w:i/>
          <w:iCs/>
        </w:rPr>
        <w:t xml:space="preserve">St. </w:t>
      </w:r>
      <w:proofErr w:type="spellStart"/>
      <w:r w:rsidRPr="001C0C0B">
        <w:rPr>
          <w:i/>
          <w:iCs/>
        </w:rPr>
        <w:t>Edmundsbury</w:t>
      </w:r>
      <w:proofErr w:type="spellEnd"/>
      <w:r w:rsidRPr="001C0C0B">
        <w:rPr>
          <w:i/>
          <w:iCs/>
        </w:rPr>
        <w:t xml:space="preserve"> and Ipswich Diocesan Board of Finance v. Clark (No. 2)</w:t>
      </w:r>
      <w:r w:rsidRPr="001C0C0B">
        <w:t> [1975] 1 W.L.R. 468</w:t>
      </w:r>
      <w:proofErr w:type="gramStart"/>
      <w:r w:rsidRPr="001C0C0B">
        <w:t>;</w:t>
      </w:r>
      <w:proofErr w:type="gramEnd"/>
      <w:r w:rsidRPr="001C0C0B">
        <w:br/>
        <w:t>[1975] 1 All E.R. 772.</w:t>
      </w:r>
      <w:r w:rsidRPr="001C0C0B">
        <w:br/>
      </w:r>
      <w:proofErr w:type="gramStart"/>
      <w:r w:rsidRPr="001C0C0B">
        <w:rPr>
          <w:i/>
          <w:iCs/>
        </w:rPr>
        <w:t xml:space="preserve">Shannon Ltd. v. </w:t>
      </w:r>
      <w:proofErr w:type="spellStart"/>
      <w:r w:rsidRPr="001C0C0B">
        <w:rPr>
          <w:i/>
          <w:iCs/>
        </w:rPr>
        <w:t>Venner</w:t>
      </w:r>
      <w:proofErr w:type="spellEnd"/>
      <w:r w:rsidRPr="001C0C0B">
        <w:rPr>
          <w:i/>
          <w:iCs/>
        </w:rPr>
        <w:t xml:space="preserve"> Ltd.</w:t>
      </w:r>
      <w:r w:rsidRPr="001C0C0B">
        <w:t> [1965] Ch. 682.</w:t>
      </w:r>
      <w:proofErr w:type="gramEnd"/>
      <w:r w:rsidRPr="001C0C0B">
        <w:br/>
      </w:r>
      <w:proofErr w:type="gramStart"/>
      <w:r w:rsidRPr="001C0C0B">
        <w:rPr>
          <w:i/>
          <w:iCs/>
        </w:rPr>
        <w:t xml:space="preserve">Standard and 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Act, 1919, Re</w:t>
      </w:r>
      <w:r w:rsidRPr="001C0C0B">
        <w:t> (1967) 92 W.N. (N.S.W.) 953.</w:t>
      </w:r>
      <w:proofErr w:type="gramEnd"/>
      <w:r w:rsidRPr="001C0C0B">
        <w:br/>
      </w:r>
      <w:r w:rsidRPr="001C0C0B">
        <w:rPr>
          <w:i/>
          <w:iCs/>
        </w:rPr>
        <w:t>Swan v. Sinclair</w:t>
      </w:r>
      <w:r w:rsidRPr="001C0C0B">
        <w:t> [1925] A.C. 227.</w:t>
      </w:r>
      <w:r w:rsidRPr="001C0C0B">
        <w:br/>
      </w:r>
      <w:proofErr w:type="spellStart"/>
      <w:proofErr w:type="gramStart"/>
      <w:r w:rsidRPr="001C0C0B">
        <w:rPr>
          <w:i/>
          <w:iCs/>
        </w:rPr>
        <w:t>Tehidy</w:t>
      </w:r>
      <w:proofErr w:type="spellEnd"/>
      <w:r w:rsidRPr="001C0C0B">
        <w:rPr>
          <w:i/>
          <w:iCs/>
        </w:rPr>
        <w:t xml:space="preserve"> Minerals Ltd. v. Norman</w:t>
      </w:r>
      <w:r w:rsidRPr="001C0C0B">
        <w:t> [1971] 2 Q.B. 528.</w:t>
      </w:r>
      <w:proofErr w:type="gramEnd"/>
      <w:r w:rsidRPr="001C0C0B">
        <w:br/>
      </w:r>
      <w:proofErr w:type="spellStart"/>
      <w:r w:rsidRPr="001C0C0B">
        <w:rPr>
          <w:i/>
          <w:iCs/>
        </w:rPr>
        <w:t>Todrick</w:t>
      </w:r>
      <w:proofErr w:type="spellEnd"/>
      <w:r w:rsidRPr="001C0C0B">
        <w:rPr>
          <w:i/>
          <w:iCs/>
        </w:rPr>
        <w:t xml:space="preserve"> v. Western National Omnibus Co.</w:t>
      </w:r>
      <w:r w:rsidRPr="001C0C0B">
        <w:t> [1934] Ch. 190; reversed [1934] Ch. 561.</w:t>
      </w:r>
      <w:r w:rsidRPr="001C0C0B">
        <w:br/>
      </w:r>
      <w:proofErr w:type="spellStart"/>
      <w:r w:rsidRPr="001C0C0B">
        <w:rPr>
          <w:i/>
          <w:iCs/>
        </w:rPr>
        <w:t>Treweeke</w:t>
      </w:r>
      <w:proofErr w:type="spellEnd"/>
      <w:r w:rsidRPr="001C0C0B">
        <w:rPr>
          <w:i/>
          <w:iCs/>
        </w:rPr>
        <w:t xml:space="preserve"> </w:t>
      </w:r>
      <w:proofErr w:type="gramStart"/>
      <w:r w:rsidRPr="001C0C0B">
        <w:rPr>
          <w:i/>
          <w:iCs/>
        </w:rPr>
        <w:t>v. 36 Wolseley Road Pty. Ltd.</w:t>
      </w:r>
      <w:r w:rsidRPr="001C0C0B">
        <w:t> (1973) 128 C.L.R. 274</w:t>
      </w:r>
      <w:proofErr w:type="gramEnd"/>
      <w:r w:rsidRPr="001C0C0B">
        <w:t>.</w:t>
      </w:r>
      <w:r w:rsidRPr="001C0C0B">
        <w:br/>
      </w:r>
      <w:r w:rsidRPr="001C0C0B">
        <w:rPr>
          <w:i/>
          <w:iCs/>
        </w:rPr>
        <w:t>Ward v. Ward</w:t>
      </w:r>
      <w:r w:rsidRPr="001C0C0B">
        <w:t> (1852) 7 Exch. 838; 155 E.R. 1189.</w:t>
      </w:r>
      <w:r w:rsidRPr="001C0C0B">
        <w:br/>
      </w:r>
      <w:proofErr w:type="spellStart"/>
      <w:proofErr w:type="gramStart"/>
      <w:r w:rsidRPr="001C0C0B">
        <w:rPr>
          <w:i/>
          <w:iCs/>
        </w:rPr>
        <w:t>Watcham</w:t>
      </w:r>
      <w:proofErr w:type="spellEnd"/>
      <w:r w:rsidRPr="001C0C0B">
        <w:rPr>
          <w:i/>
          <w:iCs/>
        </w:rPr>
        <w:t xml:space="preserve"> v. Attorney-General of East Africa Protectorate</w:t>
      </w:r>
      <w:r w:rsidRPr="001C0C0B">
        <w:t> [1919] A.C. 533.</w:t>
      </w:r>
      <w:proofErr w:type="gramEnd"/>
      <w:r w:rsidRPr="001C0C0B">
        <w:br/>
      </w:r>
      <w:proofErr w:type="gramStart"/>
      <w:r w:rsidRPr="001C0C0B">
        <w:rPr>
          <w:i/>
          <w:iCs/>
        </w:rPr>
        <w:t>Webster v. Strong</w:t>
      </w:r>
      <w:r w:rsidRPr="001C0C0B">
        <w:t> [1926] V.L.R. 509.</w:t>
      </w:r>
      <w:proofErr w:type="gramEnd"/>
      <w:r w:rsidRPr="001C0C0B">
        <w:br/>
      </w:r>
      <w:proofErr w:type="gramStart"/>
      <w:r w:rsidRPr="001C0C0B">
        <w:rPr>
          <w:i/>
          <w:iCs/>
        </w:rPr>
        <w:t>White v. Grand Hotel Eastbourne Ltd.</w:t>
      </w:r>
      <w:r w:rsidRPr="001C0C0B">
        <w:t> [1913] 1 Ch. 113.</w:t>
      </w:r>
      <w:proofErr w:type="gramEnd"/>
    </w:p>
    <w:p w:rsidR="001C0C0B" w:rsidRPr="001C0C0B" w:rsidRDefault="001C0C0B" w:rsidP="001C0C0B">
      <w:r w:rsidRPr="001C0C0B">
        <w:t>No additional cases were cited in argument.</w:t>
      </w:r>
    </w:p>
    <w:p w:rsidR="001C0C0B" w:rsidRPr="001C0C0B" w:rsidRDefault="001C0C0B" w:rsidP="001C0C0B">
      <w:r w:rsidRPr="001C0C0B">
        <w:br/>
      </w:r>
      <w:r w:rsidRPr="001C0C0B">
        <w:br/>
      </w:r>
    </w:p>
    <w:p w:rsidR="001C0C0B" w:rsidRPr="001C0C0B" w:rsidRDefault="001C0C0B" w:rsidP="001C0C0B">
      <w:r w:rsidRPr="001C0C0B">
        <w:rPr>
          <w:b/>
          <w:bCs/>
        </w:rPr>
        <w:t>SUMMONS.</w:t>
      </w:r>
    </w:p>
    <w:p w:rsidR="001C0C0B" w:rsidRPr="001C0C0B" w:rsidRDefault="001C0C0B" w:rsidP="001C0C0B">
      <w:r w:rsidRPr="001C0C0B">
        <w:lastRenderedPageBreak/>
        <w:t>The plaintiffs sought (1) orders restraining the defendants (a) from</w:t>
      </w:r>
      <w:r w:rsidRPr="001C0C0B">
        <w:br/>
        <w:t>allowing, or causing, motor vehicles to be driven over, or upon, land the</w:t>
      </w:r>
      <w:r w:rsidRPr="001C0C0B">
        <w:br/>
        <w:t>subject of a right of way, and (b) from taking any action to remove a</w:t>
      </w:r>
      <w:r w:rsidRPr="001C0C0B">
        <w:br/>
        <w:t>fence erected across the entrance to the land from the street in a Sydney</w:t>
      </w:r>
      <w:r w:rsidRPr="001C0C0B">
        <w:br/>
        <w:t>suburb; and (2) a declaration (a) that the easement was, on the proper</w:t>
      </w:r>
      <w:r w:rsidRPr="001C0C0B">
        <w:br/>
        <w:t>construction of the grant, restricted to pedestrian access; or, in the</w:t>
      </w:r>
      <w:r w:rsidRPr="001C0C0B">
        <w:br/>
        <w:t>alternative, (b) that the easement, to the extent that it permitted user</w:t>
      </w:r>
      <w:r w:rsidRPr="001C0C0B">
        <w:br/>
        <w:t>other than as a footway, had been abandoned; and (3) orders that the</w:t>
      </w:r>
      <w:r w:rsidRPr="001C0C0B">
        <w:br/>
        <w:t>easement, so far as it permitted such user, be extinguished, or modified so</w:t>
      </w:r>
      <w:r w:rsidRPr="001C0C0B">
        <w:br/>
        <w:t>as to restrict use to user as a footway.</w:t>
      </w:r>
    </w:p>
    <w:p w:rsidR="001C0C0B" w:rsidRPr="001C0C0B" w:rsidRDefault="001C0C0B" w:rsidP="001C0C0B">
      <w:r w:rsidRPr="001C0C0B">
        <w:rPr>
          <w:i/>
          <w:iCs/>
        </w:rPr>
        <w:t>W. H. Nicholas</w:t>
      </w:r>
      <w:r w:rsidRPr="001C0C0B">
        <w:t xml:space="preserve">, for the plaintiffs (owners of the </w:t>
      </w:r>
      <w:proofErr w:type="spellStart"/>
      <w:r w:rsidRPr="001C0C0B">
        <w:t>servient</w:t>
      </w:r>
      <w:proofErr w:type="spellEnd"/>
      <w:r w:rsidRPr="001C0C0B">
        <w:t xml:space="preserve"> tenement).</w:t>
      </w:r>
    </w:p>
    <w:p w:rsidR="001C0C0B" w:rsidRPr="001C0C0B" w:rsidRDefault="001C0C0B" w:rsidP="001C0C0B">
      <w:proofErr w:type="gramStart"/>
      <w:r w:rsidRPr="001C0C0B">
        <w:rPr>
          <w:i/>
          <w:iCs/>
        </w:rPr>
        <w:t>J. C. Campbell</w:t>
      </w:r>
      <w:r w:rsidRPr="001C0C0B">
        <w:t>, for the defendants (owners of the dominant tenement).</w:t>
      </w:r>
      <w:proofErr w:type="gramEnd"/>
    </w:p>
    <w:p w:rsidR="001C0C0B" w:rsidRPr="001C0C0B" w:rsidRDefault="001C0C0B" w:rsidP="001C0C0B">
      <w:proofErr w:type="gramStart"/>
      <w:r w:rsidRPr="001C0C0B">
        <w:rPr>
          <w:i/>
          <w:iCs/>
        </w:rPr>
        <w:t>Cur.</w:t>
      </w:r>
      <w:proofErr w:type="gramEnd"/>
      <w:r w:rsidRPr="001C0C0B">
        <w:rPr>
          <w:i/>
          <w:iCs/>
        </w:rPr>
        <w:t xml:space="preserve"> </w:t>
      </w:r>
      <w:proofErr w:type="gramStart"/>
      <w:r w:rsidRPr="001C0C0B">
        <w:rPr>
          <w:i/>
          <w:iCs/>
        </w:rPr>
        <w:t>adv</w:t>
      </w:r>
      <w:proofErr w:type="gramEnd"/>
      <w:r w:rsidRPr="001C0C0B">
        <w:rPr>
          <w:i/>
          <w:iCs/>
        </w:rPr>
        <w:t xml:space="preserve">. </w:t>
      </w:r>
      <w:proofErr w:type="spellStart"/>
      <w:r w:rsidRPr="001C0C0B">
        <w:rPr>
          <w:i/>
          <w:iCs/>
        </w:rPr>
        <w:t>vult</w:t>
      </w:r>
      <w:proofErr w:type="spellEnd"/>
      <w:r w:rsidRPr="001C0C0B">
        <w:rPr>
          <w:i/>
          <w:iCs/>
        </w:rPr>
        <w:t>.</w:t>
      </w:r>
    </w:p>
    <w:p w:rsidR="001C0C0B" w:rsidRPr="001C0C0B" w:rsidRDefault="001C0C0B" w:rsidP="001C0C0B">
      <w:bookmarkStart w:id="12" w:name="ORIGHIT_6"/>
      <w:bookmarkStart w:id="13" w:name="HIT_6"/>
      <w:bookmarkEnd w:id="12"/>
      <w:bookmarkEnd w:id="13"/>
      <w:r w:rsidRPr="001C0C0B">
        <w:rPr>
          <w:b/>
          <w:bCs/>
        </w:rPr>
        <w:t>June 21.</w:t>
      </w:r>
    </w:p>
    <w:p w:rsidR="001C0C0B" w:rsidRPr="001C0C0B" w:rsidRDefault="001C0C0B" w:rsidP="001C0C0B">
      <w:bookmarkStart w:id="14" w:name="TAAD"/>
      <w:bookmarkEnd w:id="14"/>
      <w:proofErr w:type="gramStart"/>
      <w:r w:rsidRPr="001C0C0B">
        <w:rPr>
          <w:b/>
          <w:bCs/>
        </w:rPr>
        <w:t>NEEDHAM J.</w:t>
      </w:r>
      <w:proofErr w:type="gramEnd"/>
      <w:r w:rsidRPr="001C0C0B">
        <w:t> These proceedings relate to the user of a right of way</w:t>
      </w:r>
      <w:r w:rsidRPr="001C0C0B">
        <w:br/>
        <w:t xml:space="preserve">created on 5th April, 1928, by </w:t>
      </w:r>
      <w:proofErr w:type="spellStart"/>
      <w:r w:rsidRPr="001C0C0B">
        <w:t>Reconveyance</w:t>
      </w:r>
      <w:proofErr w:type="spellEnd"/>
      <w:r w:rsidRPr="001C0C0B">
        <w:t xml:space="preserve"> Book 1509 No. 287. The</w:t>
      </w:r>
    </w:p>
    <w:p w:rsidR="001C0C0B" w:rsidRPr="001C0C0B" w:rsidRDefault="001C0C0B" w:rsidP="001C0C0B">
      <w:bookmarkStart w:id="15" w:name="PAGE_608"/>
      <w:bookmarkStart w:id="16" w:name="TAADAAB"/>
      <w:bookmarkEnd w:id="15"/>
      <w:bookmarkEnd w:id="16"/>
      <w:r w:rsidRPr="001C0C0B">
        <w:rPr>
          <w:i/>
          <w:iCs/>
        </w:rPr>
        <w:t>[1979] 2 NSWLR 605 at 608</w:t>
      </w:r>
    </w:p>
    <w:p w:rsidR="001C0C0B" w:rsidRPr="001C0C0B" w:rsidRDefault="001C0C0B" w:rsidP="001C0C0B">
      <w:r w:rsidRPr="001C0C0B">
        <w:t>plaintiffs, by their amended summons, seek orders restraining the</w:t>
      </w:r>
      <w:r w:rsidRPr="001C0C0B">
        <w:br/>
        <w:t>defendants from allowing or causing motor vehicles to be driven over or</w:t>
      </w:r>
      <w:r w:rsidRPr="001C0C0B">
        <w:br/>
        <w:t>upon the land the subject of the right of way, and restraining the</w:t>
      </w:r>
      <w:r w:rsidRPr="001C0C0B">
        <w:br/>
        <w:t>defendants from taking any action to remove a fence erected across the</w:t>
      </w:r>
      <w:r w:rsidRPr="001C0C0B">
        <w:br/>
        <w:t>entrance to the land the subject of the right of way from Kurraba Road</w:t>
      </w:r>
      <w:proofErr w:type="gramStart"/>
      <w:r w:rsidRPr="001C0C0B">
        <w:t>,</w:t>
      </w:r>
      <w:proofErr w:type="gramEnd"/>
      <w:r w:rsidRPr="001C0C0B">
        <w:br/>
        <w:t>Neutral Bay. A declaration was sought that the easement was, on the</w:t>
      </w:r>
      <w:r w:rsidRPr="001C0C0B">
        <w:br/>
        <w:t>proper construction of the grant, restricted to pedestrian access.</w:t>
      </w:r>
      <w:r w:rsidRPr="001C0C0B">
        <w:br/>
        <w:t>Alternatively, the plaintiffs claimed a declaration that the easement, to</w:t>
      </w:r>
      <w:r w:rsidRPr="001C0C0B">
        <w:br/>
        <w:t>the extent that it permits user other than as a footway, has been</w:t>
      </w:r>
      <w:r w:rsidRPr="001C0C0B">
        <w:br/>
        <w:t>abandoned, and orders that the easement, so far as it permitted such user</w:t>
      </w:r>
      <w:proofErr w:type="gramStart"/>
      <w:r w:rsidRPr="001C0C0B">
        <w:t>,</w:t>
      </w:r>
      <w:proofErr w:type="gramEnd"/>
      <w:r w:rsidRPr="001C0C0B">
        <w:br/>
        <w:t>be extinguished, or modified so as to restrict use to user as a footway.</w:t>
      </w:r>
    </w:p>
    <w:p w:rsidR="001C0C0B" w:rsidRPr="001C0C0B" w:rsidRDefault="001C0C0B" w:rsidP="001C0C0B">
      <w:r w:rsidRPr="001C0C0B">
        <w:t>The proceedings were commenced by the first plaintiff, owner of the</w:t>
      </w:r>
      <w:r w:rsidRPr="001C0C0B">
        <w:br/>
        <w:t>common property of the strata plan which is registered in respect of the</w:t>
      </w:r>
      <w:r w:rsidRPr="001C0C0B">
        <w:br/>
        <w:t>land and building (a block of flats) known as “Coronel”, 135 Kurraba</w:t>
      </w:r>
      <w:r w:rsidRPr="001C0C0B">
        <w:br/>
        <w:t xml:space="preserve">Road, </w:t>
      </w:r>
      <w:proofErr w:type="gramStart"/>
      <w:r w:rsidRPr="001C0C0B">
        <w:t>Neutral</w:t>
      </w:r>
      <w:proofErr w:type="gramEnd"/>
      <w:r w:rsidRPr="001C0C0B">
        <w:t xml:space="preserve"> Bay. The second plaintiff was later joined. It owns the</w:t>
      </w:r>
      <w:r w:rsidRPr="001C0C0B">
        <w:br/>
        <w:t>common property of strata plan No. 9969, which is registered in respect of</w:t>
      </w:r>
      <w:r w:rsidRPr="001C0C0B">
        <w:br/>
        <w:t>the land and building (a block of flats) known as “</w:t>
      </w:r>
      <w:proofErr w:type="spellStart"/>
      <w:r w:rsidRPr="001C0C0B">
        <w:t>Maronor</w:t>
      </w:r>
      <w:proofErr w:type="spellEnd"/>
      <w:r w:rsidRPr="001C0C0B">
        <w:t>”, 133 Kurraba</w:t>
      </w:r>
      <w:r w:rsidRPr="001C0C0B">
        <w:br/>
        <w:t xml:space="preserve">Road, </w:t>
      </w:r>
      <w:proofErr w:type="gramStart"/>
      <w:r w:rsidRPr="001C0C0B">
        <w:t>Neutral</w:t>
      </w:r>
      <w:proofErr w:type="gramEnd"/>
      <w:r w:rsidRPr="001C0C0B">
        <w:t xml:space="preserve"> Bay. The first defendant is the owner of the common</w:t>
      </w:r>
      <w:r w:rsidRPr="001C0C0B">
        <w:br/>
        <w:t>property of strata plan No. 11,173, which is registered in respect of the</w:t>
      </w:r>
      <w:r w:rsidRPr="001C0C0B">
        <w:br/>
        <w:t>land and building (again a block of flats) known as “</w:t>
      </w:r>
      <w:proofErr w:type="spellStart"/>
      <w:r w:rsidRPr="001C0C0B">
        <w:t>Rotherwood</w:t>
      </w:r>
      <w:proofErr w:type="spellEnd"/>
      <w:r w:rsidRPr="001C0C0B">
        <w:t>”, 137</w:t>
      </w:r>
      <w:r w:rsidRPr="001C0C0B">
        <w:br/>
        <w:t xml:space="preserve">Kurraba Road, </w:t>
      </w:r>
      <w:proofErr w:type="gramStart"/>
      <w:r w:rsidRPr="001C0C0B">
        <w:t>Neutral</w:t>
      </w:r>
      <w:proofErr w:type="gramEnd"/>
      <w:r w:rsidRPr="001C0C0B">
        <w:t xml:space="preserve"> Bay. No question arose in these proceedings</w:t>
      </w:r>
      <w:r w:rsidRPr="001C0C0B">
        <w:br/>
        <w:t>which depended upon the legal rights or obligations of the respective</w:t>
      </w:r>
      <w:r w:rsidRPr="001C0C0B">
        <w:br/>
        <w:t>parties as proprietors of the various strata plans, and it is convenient to</w:t>
      </w:r>
      <w:r w:rsidRPr="001C0C0B">
        <w:br/>
      </w:r>
      <w:r w:rsidRPr="001C0C0B">
        <w:lastRenderedPageBreak/>
        <w:t>refer to those three parties as the owners of “</w:t>
      </w:r>
      <w:proofErr w:type="spellStart"/>
      <w:r w:rsidRPr="001C0C0B">
        <w:t>Rotherwood</w:t>
      </w:r>
      <w:proofErr w:type="spellEnd"/>
      <w:r w:rsidRPr="001C0C0B">
        <w:t>” (the first</w:t>
      </w:r>
      <w:r w:rsidRPr="001C0C0B">
        <w:br/>
        <w:t>defendant</w:t>
      </w:r>
      <w:proofErr w:type="gramStart"/>
      <w:r w:rsidRPr="001C0C0B">
        <w:t>)“</w:t>
      </w:r>
      <w:proofErr w:type="gramEnd"/>
      <w:r w:rsidRPr="001C0C0B">
        <w:t>Coronel” (the first plaintiff) and “</w:t>
      </w:r>
      <w:proofErr w:type="spellStart"/>
      <w:r w:rsidRPr="001C0C0B">
        <w:t>Maronor</w:t>
      </w:r>
      <w:proofErr w:type="spellEnd"/>
      <w:r w:rsidRPr="001C0C0B">
        <w:t>” (the second</w:t>
      </w:r>
      <w:r w:rsidRPr="001C0C0B">
        <w:br/>
        <w:t>plaintiff), and to refer to the land and the building erected upon it by the</w:t>
      </w:r>
      <w:r w:rsidRPr="001C0C0B">
        <w:br/>
        <w:t>name given to that building. The second defendant and third defendant</w:t>
      </w:r>
      <w:r w:rsidRPr="001C0C0B">
        <w:br/>
        <w:t>were, at the date the proceedings commenced, proprietors of the various</w:t>
      </w:r>
      <w:r w:rsidRPr="001C0C0B">
        <w:br/>
        <w:t>lots in the strata plan in respect of “</w:t>
      </w:r>
      <w:proofErr w:type="spellStart"/>
      <w:r w:rsidRPr="001C0C0B">
        <w:t>Rotherwood</w:t>
      </w:r>
      <w:proofErr w:type="spellEnd"/>
      <w:r w:rsidRPr="001C0C0B">
        <w:t>”. They will, for</w:t>
      </w:r>
      <w:r w:rsidRPr="001C0C0B">
        <w:br/>
        <w:t>convenience, be included in the description of the owners of</w:t>
      </w:r>
      <w:r w:rsidRPr="001C0C0B">
        <w:br/>
        <w:t>“</w:t>
      </w:r>
      <w:proofErr w:type="spellStart"/>
      <w:r w:rsidRPr="001C0C0B">
        <w:t>Rotherwood</w:t>
      </w:r>
      <w:proofErr w:type="spellEnd"/>
      <w:r w:rsidRPr="001C0C0B">
        <w:t>”.</w:t>
      </w:r>
    </w:p>
    <w:p w:rsidR="001C0C0B" w:rsidRPr="001C0C0B" w:rsidRDefault="001C0C0B" w:rsidP="001C0C0B">
      <w:r w:rsidRPr="001C0C0B">
        <w:t>“</w:t>
      </w:r>
      <w:proofErr w:type="spellStart"/>
      <w:r w:rsidRPr="001C0C0B">
        <w:t>Rotherwood</w:t>
      </w:r>
      <w:proofErr w:type="spellEnd"/>
      <w:r w:rsidRPr="001C0C0B">
        <w:t>” fronts Kurraba Road, Neutral Bay. The building was</w:t>
      </w:r>
      <w:r w:rsidRPr="001C0C0B">
        <w:br/>
        <w:t>erected in about 1928, apparently being completed some months after the</w:t>
      </w:r>
      <w:r w:rsidRPr="001C0C0B">
        <w:br/>
        <w:t>grant of the right of way. It is approximately west of the road. Further</w:t>
      </w:r>
      <w:r w:rsidRPr="001C0C0B">
        <w:br/>
        <w:t>west is “Coronel”, erected immediately behind “</w:t>
      </w:r>
      <w:proofErr w:type="spellStart"/>
      <w:r w:rsidRPr="001C0C0B">
        <w:t>Rotherwood</w:t>
      </w:r>
      <w:proofErr w:type="spellEnd"/>
      <w:r w:rsidRPr="001C0C0B">
        <w:t>”. Between</w:t>
      </w:r>
      <w:r w:rsidRPr="001C0C0B">
        <w:br/>
        <w:t>the two buildings is an open area owned as to part by each of the building</w:t>
      </w:r>
      <w:r w:rsidRPr="001C0C0B">
        <w:br/>
        <w:t>owners. The land belonging to “</w:t>
      </w:r>
      <w:proofErr w:type="spellStart"/>
      <w:r w:rsidRPr="001C0C0B">
        <w:t>Rotherwood</w:t>
      </w:r>
      <w:proofErr w:type="spellEnd"/>
      <w:r w:rsidRPr="001C0C0B">
        <w:t>” was used by its tenants as a</w:t>
      </w:r>
      <w:r w:rsidRPr="001C0C0B">
        <w:br/>
        <w:t>drying area for laundry, the laundry being at the western extremity of the</w:t>
      </w:r>
      <w:r w:rsidRPr="001C0C0B">
        <w:br/>
        <w:t>building on the ground floor. Entrances to the flats contained in</w:t>
      </w:r>
      <w:r w:rsidRPr="001C0C0B">
        <w:br/>
        <w:t>“</w:t>
      </w:r>
      <w:proofErr w:type="spellStart"/>
      <w:r w:rsidRPr="001C0C0B">
        <w:t>Rotherwood</w:t>
      </w:r>
      <w:proofErr w:type="spellEnd"/>
      <w:r w:rsidRPr="001C0C0B">
        <w:t>” are in the front and in the rear of the building.</w:t>
      </w:r>
    </w:p>
    <w:p w:rsidR="001C0C0B" w:rsidRPr="001C0C0B" w:rsidRDefault="001C0C0B" w:rsidP="001C0C0B">
      <w:r w:rsidRPr="001C0C0B">
        <w:t>“Coronel” includes in its title a strip of land about 6 feet 3 inches wide</w:t>
      </w:r>
      <w:r w:rsidRPr="001C0C0B">
        <w:br/>
        <w:t>leading to Kurraba Road. The title to “</w:t>
      </w:r>
      <w:proofErr w:type="spellStart"/>
      <w:r w:rsidRPr="001C0C0B">
        <w:t>Maronor</w:t>
      </w:r>
      <w:proofErr w:type="spellEnd"/>
      <w:r w:rsidRPr="001C0C0B">
        <w:t>”, which lies north of</w:t>
      </w:r>
      <w:r w:rsidRPr="001C0C0B">
        <w:br/>
        <w:t>“Coronel”, includes a similar strip adjacent to the other. The building</w:t>
      </w:r>
      <w:r w:rsidRPr="001C0C0B">
        <w:br/>
        <w:t>“</w:t>
      </w:r>
      <w:proofErr w:type="spellStart"/>
      <w:r w:rsidRPr="001C0C0B">
        <w:t>Rotherwood</w:t>
      </w:r>
      <w:proofErr w:type="spellEnd"/>
      <w:r w:rsidRPr="001C0C0B">
        <w:t>” is about 4 feet 8 inches from the northern boundary of its</w:t>
      </w:r>
      <w:r w:rsidRPr="001C0C0B">
        <w:br/>
        <w:t>land.</w:t>
      </w:r>
    </w:p>
    <w:p w:rsidR="001C0C0B" w:rsidRPr="001C0C0B" w:rsidRDefault="001C0C0B" w:rsidP="001C0C0B">
      <w:r w:rsidRPr="001C0C0B">
        <w:t xml:space="preserve">By deed of </w:t>
      </w:r>
      <w:proofErr w:type="spellStart"/>
      <w:r w:rsidRPr="001C0C0B">
        <w:t>reconveyance</w:t>
      </w:r>
      <w:proofErr w:type="spellEnd"/>
      <w:r w:rsidRPr="001C0C0B">
        <w:t>, already referred to, McIntosh &amp; Sons Ltd., the</w:t>
      </w:r>
      <w:r w:rsidRPr="001C0C0B">
        <w:br/>
        <w:t>mortgagee of “</w:t>
      </w:r>
      <w:proofErr w:type="spellStart"/>
      <w:r w:rsidRPr="001C0C0B">
        <w:t>Rotherwood</w:t>
      </w:r>
      <w:proofErr w:type="spellEnd"/>
      <w:r w:rsidRPr="001C0C0B">
        <w:t>”, reconveyed the land to Arthur Edwin Wilson</w:t>
      </w:r>
      <w:r w:rsidRPr="001C0C0B">
        <w:br/>
        <w:t>“together with a right-of-way over the land” thereinafter described, which</w:t>
      </w:r>
      <w:r w:rsidRPr="001C0C0B">
        <w:br/>
        <w:t>was a strip 12 feet 6 inches at the eastern end and 12 feet at the western,</w:t>
      </w:r>
      <w:r w:rsidRPr="001C0C0B">
        <w:br/>
        <w:t>being the land immediately to the north of “</w:t>
      </w:r>
      <w:proofErr w:type="spellStart"/>
      <w:r w:rsidRPr="001C0C0B">
        <w:t>Rotherwood</w:t>
      </w:r>
      <w:proofErr w:type="spellEnd"/>
      <w:r w:rsidRPr="001C0C0B">
        <w:t>”. Part of the site</w:t>
      </w:r>
      <w:r w:rsidRPr="001C0C0B">
        <w:br/>
        <w:t>of the right of way is now the property of the first plaintiff and part that</w:t>
      </w:r>
      <w:r w:rsidRPr="001C0C0B">
        <w:br/>
        <w:t>of the second plaintiff. The title to “</w:t>
      </w:r>
      <w:proofErr w:type="spellStart"/>
      <w:r w:rsidRPr="001C0C0B">
        <w:t>Rotherwood</w:t>
      </w:r>
      <w:proofErr w:type="spellEnd"/>
      <w:r w:rsidRPr="001C0C0B">
        <w:t>” was brought under the</w:t>
      </w:r>
      <w:r w:rsidRPr="001C0C0B">
        <w:br/>
        <w:t>provisions of the </w:t>
      </w:r>
      <w:r w:rsidRPr="001C0C0B">
        <w:rPr>
          <w:i/>
          <w:iCs/>
        </w:rPr>
        <w:t>Real Property Act</w:t>
      </w:r>
      <w:r w:rsidRPr="001C0C0B">
        <w:t>, 1900 in 1934. The certificate of title</w:t>
      </w:r>
      <w:r w:rsidRPr="001C0C0B">
        <w:br/>
        <w:t>current prior to the registration of the strata plan showed, in the Second</w:t>
      </w:r>
    </w:p>
    <w:p w:rsidR="001C0C0B" w:rsidRPr="001C0C0B" w:rsidRDefault="001C0C0B" w:rsidP="001C0C0B">
      <w:bookmarkStart w:id="17" w:name="PAGE_609"/>
      <w:bookmarkStart w:id="18" w:name="TAADAAC"/>
      <w:bookmarkEnd w:id="17"/>
      <w:bookmarkEnd w:id="18"/>
      <w:r w:rsidRPr="001C0C0B">
        <w:rPr>
          <w:i/>
          <w:iCs/>
        </w:rPr>
        <w:t>[1979] 2 NSWLR 605 at 609</w:t>
      </w:r>
    </w:p>
    <w:p w:rsidR="001C0C0B" w:rsidRPr="001C0C0B" w:rsidRDefault="001C0C0B" w:rsidP="001C0C0B">
      <w:r w:rsidRPr="001C0C0B">
        <w:t>Schedule: “Right of way created by Deed Book 1509 No. 287 appurtenant</w:t>
      </w:r>
      <w:r w:rsidRPr="001C0C0B">
        <w:br/>
        <w:t>to the land above described affecting the piece of land 3.66 metres wide</w:t>
      </w:r>
      <w:r w:rsidRPr="001C0C0B">
        <w:br/>
        <w:t>shown in the plan hereon”. The certificates of title issued upon</w:t>
      </w:r>
      <w:r w:rsidRPr="001C0C0B">
        <w:br/>
        <w:t>registration of the strata plan are not in evidence, but it is common</w:t>
      </w:r>
      <w:r w:rsidRPr="001C0C0B">
        <w:br/>
        <w:t>ground that the notification of the appurtenant easement continued.</w:t>
      </w:r>
    </w:p>
    <w:p w:rsidR="001C0C0B" w:rsidRPr="001C0C0B" w:rsidRDefault="001C0C0B" w:rsidP="001C0C0B">
      <w:r w:rsidRPr="001C0C0B">
        <w:t>Each of the certificates of title to “Coronel” and “</w:t>
      </w:r>
      <w:proofErr w:type="spellStart"/>
      <w:r w:rsidRPr="001C0C0B">
        <w:t>Maronor</w:t>
      </w:r>
      <w:proofErr w:type="spellEnd"/>
      <w:r w:rsidRPr="001C0C0B">
        <w:t>” shows the</w:t>
      </w:r>
      <w:r w:rsidRPr="001C0C0B">
        <w:br/>
        <w:t>land to be burdened by a right of way over the relevant strip of land</w:t>
      </w:r>
      <w:r w:rsidRPr="001C0C0B">
        <w:br/>
        <w:t xml:space="preserve">“created by </w:t>
      </w:r>
      <w:proofErr w:type="spellStart"/>
      <w:r w:rsidRPr="001C0C0B">
        <w:t>Reconveyance</w:t>
      </w:r>
      <w:proofErr w:type="spellEnd"/>
      <w:r w:rsidRPr="001C0C0B">
        <w:t xml:space="preserve"> Book 1509 No. 287”</w:t>
      </w:r>
    </w:p>
    <w:p w:rsidR="001C0C0B" w:rsidRPr="001C0C0B" w:rsidRDefault="001C0C0B" w:rsidP="001C0C0B">
      <w:r w:rsidRPr="001C0C0B">
        <w:lastRenderedPageBreak/>
        <w:t>By conveyance dated 22nd June, 1929, McIntosh &amp; Sons Ltd. conveyed</w:t>
      </w:r>
      <w:r w:rsidRPr="001C0C0B">
        <w:br/>
        <w:t>“Coronel” to James Park and granted a right of way over that part of</w:t>
      </w:r>
      <w:r w:rsidRPr="001C0C0B">
        <w:br/>
        <w:t>“</w:t>
      </w:r>
      <w:proofErr w:type="spellStart"/>
      <w:r w:rsidRPr="001C0C0B">
        <w:t>Maronor</w:t>
      </w:r>
      <w:proofErr w:type="spellEnd"/>
      <w:r w:rsidRPr="001C0C0B">
        <w:t>” 6 feet 3 inches wide which was part of the strip which was</w:t>
      </w:r>
      <w:r w:rsidRPr="001C0C0B">
        <w:br/>
        <w:t>subject to the right of way granted to “</w:t>
      </w:r>
      <w:proofErr w:type="spellStart"/>
      <w:r w:rsidRPr="001C0C0B">
        <w:t>Rotherwood</w:t>
      </w:r>
      <w:proofErr w:type="spellEnd"/>
      <w:r w:rsidRPr="001C0C0B">
        <w:t>”. I was told, although</w:t>
      </w:r>
      <w:r w:rsidRPr="001C0C0B">
        <w:br/>
        <w:t>there was no direct evidence of the fact, that “Coronel” and “</w:t>
      </w:r>
      <w:proofErr w:type="spellStart"/>
      <w:r w:rsidRPr="001C0C0B">
        <w:t>Maronor</w:t>
      </w:r>
      <w:proofErr w:type="spellEnd"/>
      <w:r w:rsidRPr="001C0C0B">
        <w:t>”</w:t>
      </w:r>
      <w:r w:rsidRPr="001C0C0B">
        <w:br/>
        <w:t>were subsequently united in one ownership, presumably that of James</w:t>
      </w:r>
      <w:r w:rsidRPr="001C0C0B">
        <w:br/>
        <w:t>Park. Certainly, in August 1957, I.B.C. Pty. Ltd. transferred “Coronel</w:t>
      </w:r>
      <w:proofErr w:type="gramStart"/>
      <w:r w:rsidRPr="001C0C0B">
        <w:t>”</w:t>
      </w:r>
      <w:proofErr w:type="gramEnd"/>
      <w:r w:rsidRPr="001C0C0B">
        <w:br/>
        <w:t>(the lands having been brought under the </w:t>
      </w:r>
      <w:r w:rsidRPr="001C0C0B">
        <w:rPr>
          <w:i/>
          <w:iCs/>
        </w:rPr>
        <w:t>Real Property Act</w:t>
      </w:r>
      <w:r w:rsidRPr="001C0C0B">
        <w:t>) and granted</w:t>
      </w:r>
      <w:r w:rsidRPr="001C0C0B">
        <w:br/>
        <w:t>a right of way over that part of “</w:t>
      </w:r>
      <w:proofErr w:type="spellStart"/>
      <w:r w:rsidRPr="001C0C0B">
        <w:t>Maronor</w:t>
      </w:r>
      <w:proofErr w:type="spellEnd"/>
      <w:r w:rsidRPr="001C0C0B">
        <w:t>” which was part of the strip,</w:t>
      </w:r>
      <w:r w:rsidRPr="001C0C0B">
        <w:br/>
        <w:t>reserving to itself, as registered proprietor of “</w:t>
      </w:r>
      <w:proofErr w:type="spellStart"/>
      <w:r w:rsidRPr="001C0C0B">
        <w:t>Maronor</w:t>
      </w:r>
      <w:proofErr w:type="spellEnd"/>
      <w:r w:rsidRPr="001C0C0B">
        <w:t>”, a similar right</w:t>
      </w:r>
      <w:r w:rsidRPr="001C0C0B">
        <w:br/>
        <w:t>of way over that part of “Coronel” which was part of the strip. The</w:t>
      </w:r>
      <w:r w:rsidRPr="001C0C0B">
        <w:br/>
        <w:t>transfer was expressed to be subject to the right of way granted by</w:t>
      </w:r>
      <w:r w:rsidRPr="001C0C0B">
        <w:br/>
      </w:r>
      <w:proofErr w:type="spellStart"/>
      <w:r w:rsidRPr="001C0C0B">
        <w:t>Reconveyance</w:t>
      </w:r>
      <w:proofErr w:type="spellEnd"/>
      <w:r w:rsidRPr="001C0C0B">
        <w:t xml:space="preserve"> Book 1509, No. 287.</w:t>
      </w:r>
    </w:p>
    <w:p w:rsidR="001C0C0B" w:rsidRPr="001C0C0B" w:rsidRDefault="001C0C0B" w:rsidP="001C0C0B">
      <w:r w:rsidRPr="001C0C0B">
        <w:t>The second and third defendants were the promoters of the first</w:t>
      </w:r>
      <w:r w:rsidRPr="001C0C0B">
        <w:br/>
        <w:t>defendant</w:t>
      </w:r>
      <w:proofErr w:type="gramStart"/>
      <w:r w:rsidRPr="001C0C0B">
        <w:t>.“</w:t>
      </w:r>
      <w:proofErr w:type="spellStart"/>
      <w:proofErr w:type="gramEnd"/>
      <w:r w:rsidRPr="001C0C0B">
        <w:t>Rotherwood</w:t>
      </w:r>
      <w:proofErr w:type="spellEnd"/>
      <w:r w:rsidRPr="001C0C0B">
        <w:t>” was purchased by them in July 1976 with the</w:t>
      </w:r>
      <w:r w:rsidRPr="001C0C0B">
        <w:br/>
        <w:t>intention of repairing and redecorating the flats and selling them as</w:t>
      </w:r>
      <w:r w:rsidRPr="001C0C0B">
        <w:br/>
        <w:t>strata units. Part of the plan was the use of the right of way for vehicular</w:t>
      </w:r>
      <w:r w:rsidRPr="001C0C0B">
        <w:br/>
        <w:t>access to the land at the rear of the building, which was to be concreted</w:t>
      </w:r>
      <w:r w:rsidRPr="001C0C0B">
        <w:br/>
        <w:t>and used for loading and unloading, and for parking for, six cars. The</w:t>
      </w:r>
      <w:r w:rsidRPr="001C0C0B">
        <w:br/>
        <w:t>commencement of this work, involving as it did the use of the strip by</w:t>
      </w:r>
      <w:r w:rsidRPr="001C0C0B">
        <w:br/>
        <w:t>vehicles, caused this litigation.</w:t>
      </w:r>
    </w:p>
    <w:p w:rsidR="001C0C0B" w:rsidRPr="001C0C0B" w:rsidRDefault="001C0C0B" w:rsidP="001C0C0B">
      <w:r w:rsidRPr="001C0C0B">
        <w:t>The plaintiffs' case is twofold. In the first place, they say that the 12</w:t>
      </w:r>
      <w:r w:rsidRPr="001C0C0B">
        <w:br/>
        <w:t>foot strip is limited to pedestrian user by the owners of the dominant</w:t>
      </w:r>
      <w:r w:rsidRPr="001C0C0B">
        <w:br/>
        <w:t>tenement. If that is not so, they say that the owners of “</w:t>
      </w:r>
      <w:proofErr w:type="spellStart"/>
      <w:r w:rsidRPr="001C0C0B">
        <w:t>Rotherwood</w:t>
      </w:r>
      <w:proofErr w:type="spellEnd"/>
      <w:r w:rsidRPr="001C0C0B">
        <w:t>” “by</w:t>
      </w:r>
      <w:r w:rsidRPr="001C0C0B">
        <w:br/>
        <w:t>their acts or omissions may reasonably be considered to have abandoned</w:t>
      </w:r>
      <w:r w:rsidRPr="001C0C0B">
        <w:br/>
        <w:t>the easement wholly or in part”: s. 89 (1) (b),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</w:t>
      </w:r>
      <w:r w:rsidRPr="001C0C0B">
        <w:t>, 1919. It</w:t>
      </w:r>
      <w:r w:rsidRPr="001C0C0B">
        <w:br/>
        <w:t>is not suggested that the easement has been abandoned wholly, but</w:t>
      </w:r>
      <w:r w:rsidRPr="001C0C0B">
        <w:br/>
        <w:t>merely that the right to use the strip otherwise than on foot (if initially</w:t>
      </w:r>
      <w:r w:rsidRPr="001C0C0B">
        <w:br/>
        <w:t>granted) has been abandoned.</w:t>
      </w:r>
    </w:p>
    <w:p w:rsidR="001C0C0B" w:rsidRPr="001C0C0B" w:rsidRDefault="001C0C0B" w:rsidP="001C0C0B">
      <w:r w:rsidRPr="001C0C0B">
        <w:t xml:space="preserve">In about December 1930, </w:t>
      </w:r>
      <w:proofErr w:type="spellStart"/>
      <w:r w:rsidRPr="001C0C0B">
        <w:t>Mr.</w:t>
      </w:r>
      <w:proofErr w:type="spellEnd"/>
      <w:r w:rsidRPr="001C0C0B">
        <w:t xml:space="preserve"> A. O. Wardle was employed as resident</w:t>
      </w:r>
      <w:r w:rsidRPr="001C0C0B">
        <w:br/>
        <w:t>manager of “Coronel” and “</w:t>
      </w:r>
      <w:proofErr w:type="spellStart"/>
      <w:r w:rsidRPr="001C0C0B">
        <w:t>Maronor</w:t>
      </w:r>
      <w:proofErr w:type="spellEnd"/>
      <w:r w:rsidRPr="001C0C0B">
        <w:t>”. At that time a garden, edged with</w:t>
      </w:r>
      <w:r w:rsidRPr="001C0C0B">
        <w:br/>
        <w:t>stone, trespassed on the site of the right of way to the extent of about 1</w:t>
      </w:r>
      <w:r w:rsidRPr="001C0C0B">
        <w:br/>
        <w:t>foot 9 inches. Such at least was the oral evidence, but a survey, made in</w:t>
      </w:r>
      <w:r w:rsidRPr="001C0C0B">
        <w:br/>
        <w:t>1972, showed that no part of the garden extended past the western</w:t>
      </w:r>
      <w:r w:rsidRPr="001C0C0B">
        <w:br/>
        <w:t>boundary of “</w:t>
      </w:r>
      <w:proofErr w:type="spellStart"/>
      <w:r w:rsidRPr="001C0C0B">
        <w:t>Rotherwood</w:t>
      </w:r>
      <w:proofErr w:type="spellEnd"/>
      <w:r w:rsidRPr="001C0C0B">
        <w:t>”. The garden was situated at the north western</w:t>
      </w:r>
      <w:r w:rsidRPr="001C0C0B">
        <w:br/>
        <w:t>corner of “</w:t>
      </w:r>
      <w:proofErr w:type="spellStart"/>
      <w:r w:rsidRPr="001C0C0B">
        <w:t>Rotherwood</w:t>
      </w:r>
      <w:proofErr w:type="spellEnd"/>
      <w:r w:rsidRPr="001C0C0B">
        <w:t>” and was backed by a paling fence running east-</w:t>
      </w:r>
      <w:r w:rsidRPr="001C0C0B">
        <w:br/>
        <w:t>west. Between the fence and the north western corner of “</w:t>
      </w:r>
      <w:proofErr w:type="spellStart"/>
      <w:r w:rsidRPr="001C0C0B">
        <w:t>Rotherwood</w:t>
      </w:r>
      <w:proofErr w:type="spellEnd"/>
      <w:r w:rsidRPr="001C0C0B">
        <w:t>”</w:t>
      </w:r>
      <w:r w:rsidRPr="001C0C0B">
        <w:br/>
        <w:t>building was a pedestrian gate. The garden and the original fence were</w:t>
      </w:r>
      <w:r w:rsidRPr="001C0C0B">
        <w:br/>
        <w:t xml:space="preserve">made and erected in </w:t>
      </w:r>
      <w:proofErr w:type="gramStart"/>
      <w:r w:rsidRPr="001C0C0B">
        <w:t>1929, that</w:t>
      </w:r>
      <w:proofErr w:type="gramEnd"/>
      <w:r w:rsidRPr="001C0C0B">
        <w:t xml:space="preserve"> is some time after the grant. Shortly after</w:t>
      </w:r>
      <w:r w:rsidRPr="001C0C0B">
        <w:br/>
      </w:r>
      <w:proofErr w:type="spellStart"/>
      <w:r w:rsidRPr="001C0C0B">
        <w:t>Mr.</w:t>
      </w:r>
      <w:proofErr w:type="spellEnd"/>
      <w:r w:rsidRPr="001C0C0B">
        <w:t xml:space="preserve"> Wardle moved into “</w:t>
      </w:r>
      <w:proofErr w:type="spellStart"/>
      <w:r w:rsidRPr="001C0C0B">
        <w:t>Maronor</w:t>
      </w:r>
      <w:proofErr w:type="spellEnd"/>
      <w:r w:rsidRPr="001C0C0B">
        <w:t>”, he was asked by his employer to</w:t>
      </w:r>
      <w:r w:rsidRPr="001C0C0B">
        <w:br/>
        <w:t>connect power to his building. When he asked where the poles should go</w:t>
      </w:r>
      <w:proofErr w:type="gramStart"/>
      <w:r w:rsidRPr="001C0C0B">
        <w:t>,</w:t>
      </w:r>
      <w:proofErr w:type="gramEnd"/>
      <w:r w:rsidRPr="001C0C0B">
        <w:br/>
      </w:r>
      <w:proofErr w:type="spellStart"/>
      <w:r w:rsidRPr="001C0C0B">
        <w:t>Mr.</w:t>
      </w:r>
      <w:proofErr w:type="spellEnd"/>
      <w:r w:rsidRPr="001C0C0B">
        <w:t xml:space="preserve"> Park replied, pointing to the strip, “Put them down the middle; I don't</w:t>
      </w:r>
      <w:r w:rsidRPr="001C0C0B">
        <w:br/>
        <w:t>want any cars down here.” One pole is, and always has been, in the</w:t>
      </w:r>
      <w:r w:rsidRPr="001C0C0B">
        <w:br/>
      </w:r>
      <w:r w:rsidRPr="001C0C0B">
        <w:lastRenderedPageBreak/>
        <w:t>footpath, and were the strip to be extended to the road, it would be</w:t>
      </w:r>
      <w:r w:rsidRPr="001C0C0B">
        <w:br/>
        <w:t>approximately in the middle of the strip. Another pole is rather more than</w:t>
      </w:r>
    </w:p>
    <w:p w:rsidR="001C0C0B" w:rsidRPr="001C0C0B" w:rsidRDefault="001C0C0B" w:rsidP="001C0C0B">
      <w:bookmarkStart w:id="19" w:name="PAGE_610"/>
      <w:bookmarkStart w:id="20" w:name="TAADAAD"/>
      <w:bookmarkEnd w:id="19"/>
      <w:bookmarkEnd w:id="20"/>
      <w:r w:rsidRPr="001C0C0B">
        <w:rPr>
          <w:i/>
          <w:iCs/>
        </w:rPr>
        <w:t>[1979] 2 NSWLR 605 at 610</w:t>
      </w:r>
    </w:p>
    <w:p w:rsidR="001C0C0B" w:rsidRPr="001C0C0B" w:rsidRDefault="001C0C0B" w:rsidP="001C0C0B">
      <w:proofErr w:type="gramStart"/>
      <w:r w:rsidRPr="001C0C0B">
        <w:t>half</w:t>
      </w:r>
      <w:proofErr w:type="gramEnd"/>
      <w:r w:rsidRPr="001C0C0B">
        <w:t xml:space="preserve"> way down the strip and is approximately in the centre of it. Another</w:t>
      </w:r>
      <w:r w:rsidRPr="001C0C0B">
        <w:br/>
        <w:t>is between “Coronel” and “</w:t>
      </w:r>
      <w:proofErr w:type="spellStart"/>
      <w:r w:rsidRPr="001C0C0B">
        <w:t>Maronor</w:t>
      </w:r>
      <w:proofErr w:type="spellEnd"/>
      <w:r w:rsidRPr="001C0C0B">
        <w:t>”, off the strip.</w:t>
      </w:r>
    </w:p>
    <w:p w:rsidR="001C0C0B" w:rsidRPr="001C0C0B" w:rsidRDefault="001C0C0B" w:rsidP="001C0C0B">
      <w:r w:rsidRPr="001C0C0B">
        <w:t xml:space="preserve">While </w:t>
      </w:r>
      <w:proofErr w:type="spellStart"/>
      <w:r w:rsidRPr="001C0C0B">
        <w:t>Mr.</w:t>
      </w:r>
      <w:proofErr w:type="spellEnd"/>
      <w:r w:rsidRPr="001C0C0B">
        <w:t xml:space="preserve"> Wardle was doing the wiring for the power, service pipes for</w:t>
      </w:r>
      <w:r w:rsidRPr="001C0C0B">
        <w:br/>
        <w:t>water and gas were laid in a trench in the strip, and when the buildings</w:t>
      </w:r>
      <w:r w:rsidRPr="001C0C0B">
        <w:br/>
        <w:t>were finished the strip was surfaced with a thin cover of concrete. There</w:t>
      </w:r>
      <w:r w:rsidRPr="001C0C0B">
        <w:br/>
        <w:t>are some small pipes (presumably gas pipes) above ground near the</w:t>
      </w:r>
      <w:r w:rsidRPr="001C0C0B">
        <w:br/>
        <w:t>eastern end of the strip and near them is a thin structure containing letter</w:t>
      </w:r>
      <w:r w:rsidRPr="001C0C0B">
        <w:br/>
        <w:t>boxes. The evidence satisfies me that vehicular use of the strip has been</w:t>
      </w:r>
      <w:r w:rsidRPr="001C0C0B">
        <w:br/>
        <w:t>extremely limited although, of recent times, builders' vehicles have used</w:t>
      </w:r>
      <w:r w:rsidRPr="001C0C0B">
        <w:br/>
        <w:t>it. Previously, moving vans had done so when tenants were coming to or</w:t>
      </w:r>
      <w:r w:rsidRPr="001C0C0B">
        <w:br/>
      </w:r>
      <w:proofErr w:type="spellStart"/>
      <w:r w:rsidRPr="001C0C0B">
        <w:t>leaving“Rotherwood</w:t>
      </w:r>
      <w:proofErr w:type="spellEnd"/>
      <w:r w:rsidRPr="001C0C0B">
        <w:t>”. The evidence of this use was limited to the years</w:t>
      </w:r>
      <w:r w:rsidRPr="001C0C0B">
        <w:br/>
        <w:t xml:space="preserve">1973-1976. There is no vehicle </w:t>
      </w:r>
      <w:proofErr w:type="spellStart"/>
      <w:r w:rsidRPr="001C0C0B">
        <w:t>corssing</w:t>
      </w:r>
      <w:proofErr w:type="spellEnd"/>
      <w:r w:rsidRPr="001C0C0B">
        <w:t xml:space="preserve"> from Kurraba Road into the strip</w:t>
      </w:r>
      <w:proofErr w:type="gramStart"/>
      <w:r w:rsidRPr="001C0C0B">
        <w:t>,</w:t>
      </w:r>
      <w:proofErr w:type="gramEnd"/>
      <w:r w:rsidRPr="001C0C0B">
        <w:br/>
        <w:t>although from January 1973 until July 1976 and possibly for a longer</w:t>
      </w:r>
      <w:r w:rsidRPr="001C0C0B">
        <w:br/>
        <w:t>period bricks were placed in the gutter, allowing reasonable access on to</w:t>
      </w:r>
      <w:r w:rsidRPr="001C0C0B">
        <w:br/>
        <w:t>the footpath and thence on to the strip for vehicles. There is evidence</w:t>
      </w:r>
      <w:r w:rsidRPr="001C0C0B">
        <w:br/>
        <w:t xml:space="preserve">from </w:t>
      </w:r>
      <w:proofErr w:type="spellStart"/>
      <w:r w:rsidRPr="001C0C0B">
        <w:t>Mr.</w:t>
      </w:r>
      <w:proofErr w:type="spellEnd"/>
      <w:r w:rsidRPr="001C0C0B">
        <w:t xml:space="preserve"> P.S. Westbury that, some years ago, when he saw trenches dug</w:t>
      </w:r>
      <w:r w:rsidRPr="001C0C0B">
        <w:br/>
        <w:t>in the strip and workmen laying pipes in the trenches, he saw a utility</w:t>
      </w:r>
      <w:r w:rsidRPr="001C0C0B">
        <w:br/>
        <w:t>truck parked at the bottom of the strip. He was not referring to the</w:t>
      </w:r>
      <w:r w:rsidRPr="001C0C0B">
        <w:br/>
        <w:t>original laying of pipes, as he had knowledge spanning only some</w:t>
      </w:r>
      <w:r w:rsidRPr="001C0C0B">
        <w:br/>
        <w:t>eighteen years. There is also evidence of the use of the strip by a motor</w:t>
      </w:r>
      <w:r w:rsidRPr="001C0C0B">
        <w:br/>
        <w:t>cycle.</w:t>
      </w:r>
    </w:p>
    <w:p w:rsidR="001C0C0B" w:rsidRPr="001C0C0B" w:rsidRDefault="001C0C0B" w:rsidP="001C0C0B">
      <w:r w:rsidRPr="001C0C0B">
        <w:t>When builders' vehicles commenced to use the strip on a regular basis</w:t>
      </w:r>
      <w:proofErr w:type="gramStart"/>
      <w:r w:rsidRPr="001C0C0B">
        <w:t>,</w:t>
      </w:r>
      <w:proofErr w:type="gramEnd"/>
      <w:r w:rsidRPr="001C0C0B">
        <w:br/>
        <w:t>the plaintiffs erected a fence across the western end of the strip. A gate</w:t>
      </w:r>
      <w:r w:rsidRPr="001C0C0B">
        <w:br/>
        <w:t>was included in the fence. The solicitors for the defendants required the</w:t>
      </w:r>
      <w:r w:rsidRPr="001C0C0B">
        <w:br/>
        <w:t>first plaintiff to remove the fence and, upon refusal, the defendants</w:t>
      </w:r>
      <w:r w:rsidRPr="001C0C0B">
        <w:br/>
        <w:t>removed it.</w:t>
      </w:r>
    </w:p>
    <w:p w:rsidR="001C0C0B" w:rsidRPr="001C0C0B" w:rsidRDefault="001C0C0B" w:rsidP="001C0C0B">
      <w:r w:rsidRPr="001C0C0B">
        <w:t>There is no physical impossibility in the use of the strip by vehicles.</w:t>
      </w:r>
      <w:r w:rsidRPr="001C0C0B">
        <w:br/>
        <w:t>Despite the presence of the power poles, vehicles could pass one another.</w:t>
      </w:r>
      <w:r w:rsidRPr="001C0C0B">
        <w:br/>
        <w:t>It is to be remembered that there is a strip of approximately 4 feet 8</w:t>
      </w:r>
      <w:r w:rsidRPr="001C0C0B">
        <w:br/>
        <w:t>inches on the north of the “</w:t>
      </w:r>
      <w:proofErr w:type="spellStart"/>
      <w:r w:rsidRPr="001C0C0B">
        <w:t>Rotherwood</w:t>
      </w:r>
      <w:proofErr w:type="spellEnd"/>
      <w:r w:rsidRPr="001C0C0B">
        <w:t>” building which adds breadth to</w:t>
      </w:r>
      <w:r w:rsidRPr="001C0C0B">
        <w:br/>
        <w:t>the strip.</w:t>
      </w:r>
    </w:p>
    <w:p w:rsidR="001C0C0B" w:rsidRPr="001C0C0B" w:rsidRDefault="001C0C0B" w:rsidP="001C0C0B">
      <w:r w:rsidRPr="001C0C0B">
        <w:t>The first question is the proper construction of the grant, and coupled</w:t>
      </w:r>
      <w:r w:rsidRPr="001C0C0B">
        <w:br/>
        <w:t>with that is the question whether evidence of events taking place after the</w:t>
      </w:r>
      <w:r w:rsidRPr="001C0C0B">
        <w:br/>
        <w:t>grant are of assistance in construing it.</w:t>
      </w:r>
    </w:p>
    <w:p w:rsidR="001C0C0B" w:rsidRPr="001C0C0B" w:rsidRDefault="001C0C0B" w:rsidP="001C0C0B">
      <w:r w:rsidRPr="001C0C0B">
        <w:t>In my opinion, the subsequent conduct of the parties, unless it amounts</w:t>
      </w:r>
      <w:r w:rsidRPr="001C0C0B">
        <w:br/>
        <w:t>to an estoppel, cannot be called in aid in the construction of the grant of</w:t>
      </w:r>
      <w:r w:rsidRPr="001C0C0B">
        <w:br/>
        <w:t>the right of way. There are many statements in the authorities to the</w:t>
      </w:r>
      <w:r w:rsidRPr="001C0C0B">
        <w:br/>
      </w:r>
      <w:r w:rsidRPr="001C0C0B">
        <w:lastRenderedPageBreak/>
        <w:t>effect that, unless the words used in the grant are perfectly clear, extrinsic</w:t>
      </w:r>
      <w:r w:rsidRPr="001C0C0B">
        <w:br/>
        <w:t>evidence is admissible of material facts existing at the time of the grant—</w:t>
      </w:r>
      <w:r w:rsidRPr="001C0C0B">
        <w:br/>
        <w:t>see, for example, </w:t>
      </w:r>
      <w:r w:rsidRPr="001C0C0B">
        <w:rPr>
          <w:i/>
          <w:iCs/>
        </w:rPr>
        <w:t xml:space="preserve">Shannon Ltd. v. </w:t>
      </w:r>
      <w:proofErr w:type="spellStart"/>
      <w:r w:rsidRPr="001C0C0B">
        <w:rPr>
          <w:i/>
          <w:iCs/>
        </w:rPr>
        <w:t>Venner</w:t>
      </w:r>
      <w:proofErr w:type="spellEnd"/>
      <w:r w:rsidRPr="001C0C0B">
        <w:rPr>
          <w:i/>
          <w:iCs/>
        </w:rPr>
        <w:t xml:space="preserve"> Ltd.</w:t>
      </w:r>
      <w:r w:rsidRPr="001C0C0B">
        <w:t> </w:t>
      </w:r>
      <w:bookmarkStart w:id="21" w:name="1979-2-NSWLR-605.fnr_a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(1)</w:t>
      </w:r>
      <w:r w:rsidRPr="001C0C0B">
        <w:fldChar w:fldCharType="end"/>
      </w:r>
      <w:bookmarkEnd w:id="21"/>
      <w:r w:rsidRPr="001C0C0B">
        <w:t> citing with approval</w:t>
      </w:r>
      <w:r w:rsidRPr="001C0C0B">
        <w:br/>
      </w:r>
      <w:r w:rsidRPr="001C0C0B">
        <w:rPr>
          <w:i/>
          <w:iCs/>
        </w:rPr>
        <w:t xml:space="preserve">Johnstone v. </w:t>
      </w:r>
      <w:proofErr w:type="spellStart"/>
      <w:r w:rsidRPr="001C0C0B">
        <w:rPr>
          <w:i/>
          <w:iCs/>
        </w:rPr>
        <w:t>Holdway</w:t>
      </w:r>
      <w:proofErr w:type="spellEnd"/>
      <w:r w:rsidRPr="001C0C0B">
        <w:t> </w:t>
      </w:r>
      <w:bookmarkStart w:id="22" w:name="1979-2-NSWLR-605.fnr_b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"1979-2-NSWLR-605.fn_b"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(2)</w:t>
      </w:r>
      <w:r w:rsidRPr="001C0C0B">
        <w:fldChar w:fldCharType="end"/>
      </w:r>
      <w:bookmarkEnd w:id="22"/>
      <w:r w:rsidRPr="001C0C0B">
        <w:t>; </w:t>
      </w:r>
      <w:r w:rsidRPr="001C0C0B">
        <w:rPr>
          <w:i/>
          <w:iCs/>
        </w:rPr>
        <w:t>Cannon v. Villars</w:t>
      </w:r>
      <w:r w:rsidRPr="001C0C0B">
        <w:t> </w:t>
      </w:r>
      <w:bookmarkStart w:id="23" w:name="1979-2-NSWLR-605.fnr_c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"1979-2-NSWLR-605.fn_c"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(3)</w:t>
      </w:r>
      <w:r w:rsidRPr="001C0C0B">
        <w:fldChar w:fldCharType="end"/>
      </w:r>
      <w:bookmarkEnd w:id="23"/>
      <w:r w:rsidRPr="001C0C0B">
        <w:t>; </w:t>
      </w:r>
      <w:proofErr w:type="spellStart"/>
      <w:r w:rsidRPr="001C0C0B">
        <w:rPr>
          <w:i/>
          <w:iCs/>
        </w:rPr>
        <w:t>Todrick</w:t>
      </w:r>
      <w:proofErr w:type="spellEnd"/>
      <w:r w:rsidRPr="001C0C0B">
        <w:rPr>
          <w:i/>
          <w:iCs/>
        </w:rPr>
        <w:t xml:space="preserve"> v. Western</w:t>
      </w:r>
      <w:r w:rsidRPr="001C0C0B">
        <w:rPr>
          <w:i/>
          <w:iCs/>
        </w:rPr>
        <w:br/>
        <w:t>National Omnibus Co.</w:t>
      </w:r>
      <w:r w:rsidRPr="001C0C0B">
        <w:t> </w:t>
      </w:r>
      <w:bookmarkStart w:id="24" w:name="1979-2-NSWLR-605.fnr_d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"1979-2-NSWLR-605.fn_d"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(4)</w:t>
      </w:r>
      <w:r w:rsidRPr="001C0C0B">
        <w:fldChar w:fldCharType="end"/>
      </w:r>
      <w:bookmarkEnd w:id="24"/>
      <w:r w:rsidRPr="001C0C0B">
        <w:t>.</w:t>
      </w:r>
    </w:p>
    <w:p w:rsidR="001C0C0B" w:rsidRPr="001C0C0B" w:rsidRDefault="001C0C0B" w:rsidP="001C0C0B">
      <w:r w:rsidRPr="001C0C0B">
        <w:t>In </w:t>
      </w:r>
      <w:r w:rsidRPr="001C0C0B">
        <w:rPr>
          <w:i/>
          <w:iCs/>
        </w:rPr>
        <w:t>White v. Grand Hotel, Eastbourne Ltd.</w:t>
      </w:r>
      <w:r w:rsidRPr="001C0C0B">
        <w:t> </w:t>
      </w:r>
      <w:bookmarkStart w:id="25" w:name="1979-2-NSWLR-605.fnr_e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"1979-2-NSWLR-605.fn_e"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(5)</w:t>
      </w:r>
      <w:r w:rsidRPr="001C0C0B">
        <w:fldChar w:fldCharType="end"/>
      </w:r>
      <w:bookmarkEnd w:id="25"/>
      <w:r w:rsidRPr="001C0C0B">
        <w:t> Cozens-Hardy M.R. said:</w:t>
      </w:r>
      <w:r w:rsidRPr="001C0C0B">
        <w:br/>
        <w:t>“It is a right of way claimed under a grant, and, that being so, the only</w:t>
      </w:r>
      <w:r w:rsidRPr="001C0C0B">
        <w:br/>
        <w:t>thing that the Court has to do is to construe the grant; and unless there is</w:t>
      </w:r>
      <w:r w:rsidRPr="001C0C0B">
        <w:br/>
        <w:t>some limitation to be found in the grant, in the nature of the width of the</w:t>
      </w:r>
      <w:r w:rsidRPr="001C0C0B">
        <w:br/>
        <w:t>road or something of that kind, full effect must be given to the grant, and</w:t>
      </w:r>
      <w:r w:rsidRPr="001C0C0B">
        <w:br/>
        <w:t>we cannot consider the subsequent user as in any way sufficient to cut</w:t>
      </w:r>
      <w:r w:rsidRPr="001C0C0B">
        <w:br/>
        <w:t>down the generality of the grant.”</w:t>
      </w:r>
    </w:p>
    <w:bookmarkStart w:id="26" w:name="1979-2-NSWLR-605.fn_a"/>
    <w:bookmarkEnd w:id="26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"1979-2-NSWLR-605.fnr_a" </w:instrText>
      </w:r>
      <w:r w:rsidRPr="001C0C0B">
        <w:fldChar w:fldCharType="separate"/>
      </w:r>
      <w:r w:rsidRPr="001C0C0B">
        <w:rPr>
          <w:rStyle w:val="Hyperlink"/>
        </w:rPr>
        <w:t>(1)</w:t>
      </w:r>
      <w:r w:rsidRPr="001C0C0B">
        <w:fldChar w:fldCharType="end"/>
      </w:r>
      <w:r w:rsidRPr="001C0C0B">
        <w:t> [1965] Ch. 682, at p. 691.</w:t>
      </w:r>
      <w:bookmarkStart w:id="27" w:name="1979-2-NSWLR-605.fn_b"/>
      <w:bookmarkEnd w:id="27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"1979-2-NSWLR-605.fnr_b" </w:instrText>
      </w:r>
      <w:r w:rsidRPr="001C0C0B">
        <w:fldChar w:fldCharType="separate"/>
      </w:r>
      <w:r w:rsidRPr="001C0C0B">
        <w:rPr>
          <w:rStyle w:val="Hyperlink"/>
        </w:rPr>
        <w:t>(2)</w:t>
      </w:r>
      <w:r w:rsidRPr="001C0C0B">
        <w:fldChar w:fldCharType="end"/>
      </w:r>
      <w:r w:rsidRPr="001C0C0B">
        <w:t> [1963] 1 Q.B. 601, at p. 612.</w:t>
      </w:r>
      <w:bookmarkStart w:id="28" w:name="1979-2-NSWLR-605.fn_c"/>
      <w:bookmarkEnd w:id="28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"1979-2-NSWLR-605.fnr_c" </w:instrText>
      </w:r>
      <w:r w:rsidRPr="001C0C0B">
        <w:fldChar w:fldCharType="separate"/>
      </w:r>
      <w:r w:rsidRPr="001C0C0B">
        <w:rPr>
          <w:rStyle w:val="Hyperlink"/>
        </w:rPr>
        <w:t>(3)</w:t>
      </w:r>
      <w:r w:rsidRPr="001C0C0B">
        <w:fldChar w:fldCharType="end"/>
      </w:r>
      <w:r w:rsidRPr="001C0C0B">
        <w:t> (1878) 8 Ch. D. 415, at pp. 419, 420.</w:t>
      </w:r>
      <w:bookmarkStart w:id="29" w:name="1979-2-NSWLR-605.fn_d"/>
      <w:bookmarkEnd w:id="29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"1979-2-NSWLR-605.fnr_d" </w:instrText>
      </w:r>
      <w:r w:rsidRPr="001C0C0B">
        <w:fldChar w:fldCharType="separate"/>
      </w:r>
      <w:r w:rsidRPr="001C0C0B">
        <w:rPr>
          <w:rStyle w:val="Hyperlink"/>
        </w:rPr>
        <w:t>(4)</w:t>
      </w:r>
      <w:r w:rsidRPr="001C0C0B">
        <w:fldChar w:fldCharType="end"/>
      </w:r>
      <w:r w:rsidRPr="001C0C0B">
        <w:t> [1934] Ch. 190, at p. 206.</w:t>
      </w:r>
      <w:bookmarkStart w:id="30" w:name="1979-2-NSWLR-605.fn_e"/>
      <w:bookmarkEnd w:id="30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"1979-2-NSWLR-605.fnr_e" </w:instrText>
      </w:r>
      <w:r w:rsidRPr="001C0C0B">
        <w:fldChar w:fldCharType="separate"/>
      </w:r>
      <w:r w:rsidRPr="001C0C0B">
        <w:rPr>
          <w:rStyle w:val="Hyperlink"/>
        </w:rPr>
        <w:t>(5)</w:t>
      </w:r>
      <w:r w:rsidRPr="001C0C0B">
        <w:fldChar w:fldCharType="end"/>
      </w:r>
      <w:r w:rsidRPr="001C0C0B">
        <w:t> [1913] 1 Ch. 113, at p. 116.</w:t>
      </w:r>
    </w:p>
    <w:p w:rsidR="001C0C0B" w:rsidRPr="001C0C0B" w:rsidRDefault="001C0C0B" w:rsidP="001C0C0B">
      <w:bookmarkStart w:id="31" w:name="PAGE_611"/>
      <w:bookmarkStart w:id="32" w:name="TAADAAE"/>
      <w:bookmarkEnd w:id="31"/>
      <w:bookmarkEnd w:id="32"/>
      <w:r w:rsidRPr="001C0C0B">
        <w:rPr>
          <w:i/>
          <w:iCs/>
        </w:rPr>
        <w:t>[1979] 2 NSWLR 605 at 611</w:t>
      </w:r>
    </w:p>
    <w:p w:rsidR="001C0C0B" w:rsidRPr="001C0C0B" w:rsidRDefault="001C0C0B" w:rsidP="001C0C0B">
      <w:r w:rsidRPr="001C0C0B">
        <w:t>That statement, of course, was made before the decision of the Privy</w:t>
      </w:r>
      <w:r w:rsidRPr="001C0C0B">
        <w:br/>
        <w:t>Council in </w:t>
      </w:r>
      <w:proofErr w:type="spellStart"/>
      <w:r w:rsidRPr="001C0C0B">
        <w:rPr>
          <w:i/>
          <w:iCs/>
        </w:rPr>
        <w:t>Watcham</w:t>
      </w:r>
      <w:proofErr w:type="spellEnd"/>
      <w:r w:rsidRPr="001C0C0B">
        <w:rPr>
          <w:i/>
          <w:iCs/>
        </w:rPr>
        <w:t xml:space="preserve"> v. Attorney-General of East Africa </w:t>
      </w:r>
      <w:proofErr w:type="gramStart"/>
      <w:r w:rsidRPr="001C0C0B">
        <w:rPr>
          <w:i/>
          <w:iCs/>
        </w:rPr>
        <w:t>Protectorate</w:t>
      </w:r>
      <w:proofErr w:type="gramEnd"/>
      <w:r w:rsidRPr="001C0C0B">
        <w:br/>
      </w:r>
      <w:bookmarkStart w:id="33" w:name="1979-2-NSWLR-605.fnr_f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"1979-2-NSWLR-605.fn_f"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(6)</w:t>
      </w:r>
      <w:r w:rsidRPr="001C0C0B">
        <w:fldChar w:fldCharType="end"/>
      </w:r>
      <w:bookmarkEnd w:id="33"/>
      <w:r w:rsidRPr="001C0C0B">
        <w:t>. In that case a grant of land contained an ambiguity, in that the area</w:t>
      </w:r>
      <w:r w:rsidRPr="001C0C0B">
        <w:br/>
        <w:t xml:space="preserve">stated as </w:t>
      </w:r>
      <w:proofErr w:type="gramStart"/>
      <w:r w:rsidRPr="001C0C0B">
        <w:t>an acreage</w:t>
      </w:r>
      <w:proofErr w:type="gramEnd"/>
      <w:r w:rsidRPr="001C0C0B">
        <w:t xml:space="preserve"> and as described by the physical boundaries varied.</w:t>
      </w:r>
      <w:r w:rsidRPr="001C0C0B">
        <w:br/>
        <w:t>Lord Atkinson, in delivering the advice of the Board, said </w:t>
      </w:r>
      <w:bookmarkStart w:id="34" w:name="1979-2-NSWLR-605.fnr_g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"1979-2-NSWLR-605.fn_g"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(7)</w:t>
      </w:r>
      <w:r w:rsidRPr="001C0C0B">
        <w:fldChar w:fldCharType="end"/>
      </w:r>
      <w:bookmarkEnd w:id="34"/>
      <w:r w:rsidRPr="001C0C0B">
        <w:t>: “… even in</w:t>
      </w:r>
      <w:r w:rsidRPr="001C0C0B">
        <w:br/>
        <w:t>the case of a modern instrument in which there is a latent ambiguity,</w:t>
      </w:r>
      <w:r w:rsidRPr="001C0C0B">
        <w:br/>
        <w:t>evidence may be given of user under it to show the sense in which the</w:t>
      </w:r>
      <w:r w:rsidRPr="001C0C0B">
        <w:br/>
        <w:t>parties to it used the language they have employed, and their intention in</w:t>
      </w:r>
      <w:r w:rsidRPr="001C0C0B">
        <w:br/>
        <w:t>executing the instrument as revealed by their language interpreted in this</w:t>
      </w:r>
      <w:r w:rsidRPr="001C0C0B">
        <w:br/>
        <w:t>sense.”</w:t>
      </w:r>
    </w:p>
    <w:p w:rsidR="001C0C0B" w:rsidRPr="001C0C0B" w:rsidRDefault="001C0C0B" w:rsidP="001C0C0B">
      <w:r w:rsidRPr="001C0C0B">
        <w:t>His Lordship then expressed the view that the principle applied also to</w:t>
      </w:r>
      <w:r w:rsidRPr="001C0C0B">
        <w:br/>
        <w:t>patent ambiguities. The decision has been criticized. The House of Lords</w:t>
      </w:r>
      <w:proofErr w:type="gramStart"/>
      <w:r w:rsidRPr="001C0C0B">
        <w:t>,</w:t>
      </w:r>
      <w:proofErr w:type="gramEnd"/>
      <w:r w:rsidRPr="001C0C0B">
        <w:br/>
        <w:t>in two recent decisions, has said that the general rule in the construction</w:t>
      </w:r>
      <w:r w:rsidRPr="001C0C0B">
        <w:br/>
        <w:t>of documents is that evidence of subsequent conduct of the parties is</w:t>
      </w:r>
      <w:r w:rsidRPr="001C0C0B">
        <w:br/>
        <w:t>inadmissible—</w:t>
      </w:r>
      <w:r w:rsidRPr="001C0C0B">
        <w:rPr>
          <w:i/>
          <w:iCs/>
        </w:rPr>
        <w:t>James Miller &amp; Partners Ltd. v. Whitworth Street Estates</w:t>
      </w:r>
      <w:r w:rsidRPr="001C0C0B">
        <w:rPr>
          <w:i/>
          <w:iCs/>
        </w:rPr>
        <w:br/>
        <w:t>(Manchester) Ltd.</w:t>
      </w:r>
      <w:r w:rsidRPr="001C0C0B">
        <w:t> </w:t>
      </w:r>
      <w:bookmarkStart w:id="35" w:name="1979-2-NSWLR-605.fnr_h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"1979-2-NSWLR-605.fn_h"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(8)</w:t>
      </w:r>
      <w:r w:rsidRPr="001C0C0B">
        <w:fldChar w:fldCharType="end"/>
      </w:r>
      <w:bookmarkEnd w:id="35"/>
      <w:r w:rsidRPr="001C0C0B">
        <w:t>. In </w:t>
      </w:r>
      <w:r w:rsidRPr="001C0C0B">
        <w:rPr>
          <w:i/>
          <w:iCs/>
        </w:rPr>
        <w:t xml:space="preserve">L. Schuler A.G. v. </w:t>
      </w:r>
      <w:proofErr w:type="spellStart"/>
      <w:r w:rsidRPr="001C0C0B">
        <w:rPr>
          <w:i/>
          <w:iCs/>
        </w:rPr>
        <w:t>Wickman</w:t>
      </w:r>
      <w:proofErr w:type="spellEnd"/>
      <w:r w:rsidRPr="001C0C0B">
        <w:rPr>
          <w:i/>
          <w:iCs/>
        </w:rPr>
        <w:t xml:space="preserve"> Machine Tool Sales</w:t>
      </w:r>
      <w:r w:rsidRPr="001C0C0B">
        <w:rPr>
          <w:i/>
          <w:iCs/>
        </w:rPr>
        <w:br/>
        <w:t>Ltd.</w:t>
      </w:r>
      <w:r w:rsidRPr="001C0C0B">
        <w:t> </w:t>
      </w:r>
      <w:bookmarkStart w:id="36" w:name="1979-2-NSWLR-605.fnr_i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"1979-2-NSWLR-605.fn_i"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(9)</w:t>
      </w:r>
      <w:r w:rsidRPr="001C0C0B">
        <w:fldChar w:fldCharType="end"/>
      </w:r>
      <w:bookmarkEnd w:id="36"/>
      <w:r w:rsidRPr="001C0C0B">
        <w:t> their Lordships were invited to reject their 1970 decision but</w:t>
      </w:r>
      <w:r w:rsidRPr="001C0C0B">
        <w:br/>
        <w:t>adhered to it. Lords Reid </w:t>
      </w:r>
      <w:bookmarkStart w:id="37" w:name="1979-2-NSWLR-605.fnr_j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"1979-2-NSWLR-605.fn_j"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(10)</w:t>
      </w:r>
      <w:r w:rsidRPr="001C0C0B">
        <w:fldChar w:fldCharType="end"/>
      </w:r>
      <w:bookmarkEnd w:id="37"/>
      <w:r w:rsidRPr="001C0C0B">
        <w:t xml:space="preserve">, Morris of </w:t>
      </w:r>
      <w:proofErr w:type="spellStart"/>
      <w:r w:rsidRPr="001C0C0B">
        <w:t>Borth</w:t>
      </w:r>
      <w:proofErr w:type="spellEnd"/>
      <w:r w:rsidRPr="001C0C0B">
        <w:t>-y-Gest </w:t>
      </w:r>
      <w:bookmarkStart w:id="38" w:name="1979-2-NSWLR-605.fnr_k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"1979-2-NSWLR-605.fn_k"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(11)</w:t>
      </w:r>
      <w:r w:rsidRPr="001C0C0B">
        <w:fldChar w:fldCharType="end"/>
      </w:r>
      <w:bookmarkEnd w:id="38"/>
      <w:r w:rsidRPr="001C0C0B">
        <w:t> and Wilberforce</w:t>
      </w:r>
      <w:r w:rsidRPr="001C0C0B">
        <w:br/>
      </w:r>
      <w:bookmarkStart w:id="39" w:name="1979-2-NSWLR-605.fnr_l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"1979-2-NSWLR-605.fn_l"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(12)</w:t>
      </w:r>
      <w:r w:rsidRPr="001C0C0B">
        <w:fldChar w:fldCharType="end"/>
      </w:r>
      <w:bookmarkEnd w:id="39"/>
      <w:r w:rsidRPr="001C0C0B">
        <w:t> were prepared to leave open the question of the correctness of</w:t>
      </w:r>
      <w:r w:rsidRPr="001C0C0B">
        <w:br/>
      </w:r>
      <w:proofErr w:type="spellStart"/>
      <w:r w:rsidRPr="001C0C0B">
        <w:rPr>
          <w:i/>
          <w:iCs/>
        </w:rPr>
        <w:t>Watcham's</w:t>
      </w:r>
      <w:proofErr w:type="spellEnd"/>
      <w:r w:rsidRPr="001C0C0B">
        <w:t> case </w:t>
      </w:r>
      <w:bookmarkStart w:id="40" w:name="1979-2-NSWLR-605.fnr_m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"1979-2-NSWLR-605.fn_m"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(13)</w:t>
      </w:r>
      <w:r w:rsidRPr="001C0C0B">
        <w:fldChar w:fldCharType="end"/>
      </w:r>
      <w:bookmarkEnd w:id="40"/>
      <w:r w:rsidRPr="001C0C0B">
        <w:t xml:space="preserve">, but Lord Simon of </w:t>
      </w:r>
      <w:proofErr w:type="spellStart"/>
      <w:r w:rsidRPr="001C0C0B">
        <w:t>Glaisdale</w:t>
      </w:r>
      <w:proofErr w:type="spellEnd"/>
      <w:r w:rsidRPr="001C0C0B">
        <w:t> </w:t>
      </w:r>
      <w:bookmarkStart w:id="41" w:name="1979-2-NSWLR-605.fnr_n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"1979-2-NSWLR-605.fn_n"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(14)</w:t>
      </w:r>
      <w:r w:rsidRPr="001C0C0B">
        <w:fldChar w:fldCharType="end"/>
      </w:r>
      <w:bookmarkEnd w:id="41"/>
      <w:r w:rsidRPr="001C0C0B">
        <w:t> said that the case</w:t>
      </w:r>
      <w:r w:rsidRPr="001C0C0B">
        <w:br/>
        <w:t>could no longer be regarded as authority for the proposition for which it</w:t>
      </w:r>
      <w:r w:rsidRPr="001C0C0B">
        <w:br/>
        <w:t>was cited in the Court of Appeal in </w:t>
      </w:r>
      <w:r w:rsidRPr="001C0C0B">
        <w:rPr>
          <w:i/>
          <w:iCs/>
        </w:rPr>
        <w:t>Schuler's</w:t>
      </w:r>
      <w:r w:rsidRPr="001C0C0B">
        <w:t> case </w:t>
      </w:r>
      <w:bookmarkStart w:id="42" w:name="1979-2-NSWLR-605.fnr_o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"1979-2-NSWLR-605.fn_o"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(15)</w:t>
      </w:r>
      <w:r w:rsidRPr="001C0C0B">
        <w:fldChar w:fldCharType="end"/>
      </w:r>
      <w:bookmarkEnd w:id="42"/>
      <w:r w:rsidRPr="001C0C0B">
        <w:t>, and Lord</w:t>
      </w:r>
      <w:r w:rsidRPr="001C0C0B">
        <w:br/>
      </w:r>
      <w:proofErr w:type="spellStart"/>
      <w:r w:rsidRPr="001C0C0B">
        <w:t>Kilbrandon</w:t>
      </w:r>
      <w:bookmarkStart w:id="43" w:name="1979-2-NSWLR-605.fnr_p"/>
      <w:proofErr w:type="spellEnd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"1979-2-NSWLR-605.fn_p"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(16)</w:t>
      </w:r>
      <w:r w:rsidRPr="001C0C0B">
        <w:fldChar w:fldCharType="end"/>
      </w:r>
      <w:bookmarkEnd w:id="43"/>
      <w:r w:rsidRPr="001C0C0B">
        <w:t> expressed the view that </w:t>
      </w:r>
      <w:proofErr w:type="spellStart"/>
      <w:r w:rsidRPr="001C0C0B">
        <w:rPr>
          <w:i/>
          <w:iCs/>
        </w:rPr>
        <w:t>Watcham's</w:t>
      </w:r>
      <w:proofErr w:type="spellEnd"/>
      <w:r w:rsidRPr="001C0C0B">
        <w:t> case </w:t>
      </w:r>
      <w:bookmarkStart w:id="44" w:name="1979-2-NSWLR-605.fnr_q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"1979-2-NSWLR-605.fn_q"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(17)</w:t>
      </w:r>
      <w:r w:rsidRPr="001C0C0B">
        <w:fldChar w:fldCharType="end"/>
      </w:r>
      <w:bookmarkEnd w:id="44"/>
      <w:r w:rsidRPr="001C0C0B">
        <w:t> would not be</w:t>
      </w:r>
      <w:r w:rsidRPr="001C0C0B">
        <w:br/>
        <w:t>questioned by him “so far as it merely lays down that, where the extent of</w:t>
      </w:r>
      <w:r w:rsidRPr="001C0C0B">
        <w:br/>
        <w:t xml:space="preserve">a grant of land is stated in </w:t>
      </w:r>
      <w:proofErr w:type="spellStart"/>
      <w:r w:rsidRPr="001C0C0B">
        <w:t>a</w:t>
      </w:r>
      <w:proofErr w:type="spellEnd"/>
      <w:r w:rsidRPr="001C0C0B">
        <w:t xml:space="preserve"> ambiguous manner in a conveyance, it is</w:t>
      </w:r>
      <w:r w:rsidRPr="001C0C0B">
        <w:br/>
        <w:t>legitimate to interpret the deed by the extent of the possession which</w:t>
      </w:r>
      <w:r w:rsidRPr="001C0C0B">
        <w:br/>
        <w:t>proceeded upon it”. In </w:t>
      </w:r>
      <w:r w:rsidRPr="001C0C0B">
        <w:rPr>
          <w:i/>
          <w:iCs/>
        </w:rPr>
        <w:t>Administration of Territory of Papua and New</w:t>
      </w:r>
      <w:r w:rsidRPr="001C0C0B">
        <w:rPr>
          <w:i/>
          <w:iCs/>
        </w:rPr>
        <w:br/>
      </w:r>
      <w:r w:rsidRPr="001C0C0B">
        <w:rPr>
          <w:i/>
          <w:iCs/>
        </w:rPr>
        <w:lastRenderedPageBreak/>
        <w:t xml:space="preserve">Guinea v. </w:t>
      </w:r>
      <w:proofErr w:type="spellStart"/>
      <w:r w:rsidRPr="001C0C0B">
        <w:rPr>
          <w:i/>
          <w:iCs/>
        </w:rPr>
        <w:t>Daera</w:t>
      </w:r>
      <w:proofErr w:type="spellEnd"/>
      <w:r w:rsidRPr="001C0C0B">
        <w:rPr>
          <w:i/>
          <w:iCs/>
        </w:rPr>
        <w:t xml:space="preserve"> </w:t>
      </w:r>
      <w:proofErr w:type="spellStart"/>
      <w:r w:rsidRPr="001C0C0B">
        <w:rPr>
          <w:i/>
          <w:iCs/>
        </w:rPr>
        <w:t>Guba</w:t>
      </w:r>
      <w:proofErr w:type="spellEnd"/>
      <w:r w:rsidRPr="001C0C0B">
        <w:t> </w:t>
      </w:r>
      <w:bookmarkStart w:id="45" w:name="1979-2-NSWLR-605.fnr_r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"1979-2-NSWLR-605.fn_r"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(18)</w:t>
      </w:r>
      <w:r w:rsidRPr="001C0C0B">
        <w:fldChar w:fldCharType="end"/>
      </w:r>
      <w:bookmarkEnd w:id="45"/>
      <w:r w:rsidRPr="001C0C0B">
        <w:t> Gibbs J., whose judgment was expressly</w:t>
      </w:r>
      <w:r w:rsidRPr="001C0C0B">
        <w:br/>
        <w:t>concurred in by Menzies and Stephen JJ., left open the question of the</w:t>
      </w:r>
      <w:r w:rsidRPr="001C0C0B">
        <w:br/>
        <w:t>correctness of </w:t>
      </w:r>
      <w:proofErr w:type="spellStart"/>
      <w:r w:rsidRPr="001C0C0B">
        <w:rPr>
          <w:i/>
          <w:iCs/>
        </w:rPr>
        <w:t>Watcham's</w:t>
      </w:r>
      <w:proofErr w:type="spellEnd"/>
      <w:r w:rsidRPr="001C0C0B">
        <w:t> case </w:t>
      </w:r>
      <w:bookmarkStart w:id="46" w:name="1979-2-NSWLR-605.fnr_s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"1979-2-NSWLR-605.fn_s"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(19)</w:t>
      </w:r>
      <w:r w:rsidRPr="001C0C0B">
        <w:fldChar w:fldCharType="end"/>
      </w:r>
      <w:bookmarkEnd w:id="46"/>
      <w:r w:rsidRPr="001C0C0B">
        <w:t>.</w:t>
      </w:r>
    </w:p>
    <w:p w:rsidR="001C0C0B" w:rsidRPr="001C0C0B" w:rsidRDefault="001C0C0B" w:rsidP="001C0C0B">
      <w:r w:rsidRPr="001C0C0B">
        <w:t>I do not have to determine whether, in these circumstances, I should</w:t>
      </w:r>
      <w:r w:rsidRPr="001C0C0B">
        <w:br/>
      </w:r>
      <w:proofErr w:type="spellStart"/>
      <w:r w:rsidRPr="001C0C0B">
        <w:t>follow</w:t>
      </w:r>
      <w:r w:rsidRPr="001C0C0B">
        <w:rPr>
          <w:i/>
          <w:iCs/>
        </w:rPr>
        <w:t>Watcham's</w:t>
      </w:r>
      <w:proofErr w:type="spellEnd"/>
      <w:r w:rsidRPr="001C0C0B">
        <w:t> case </w:t>
      </w:r>
      <w:bookmarkStart w:id="47" w:name="1979-2-NSWLR-605.fnr_t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"1979-2-NSWLR-605.fn_t"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(20)</w:t>
      </w:r>
      <w:r w:rsidRPr="001C0C0B">
        <w:fldChar w:fldCharType="end"/>
      </w:r>
      <w:bookmarkEnd w:id="47"/>
      <w:r w:rsidRPr="001C0C0B">
        <w:t>, because, in my opinion, no ambiguity exists</w:t>
      </w:r>
      <w:r w:rsidRPr="001C0C0B">
        <w:br/>
        <w:t>here, and the principle of </w:t>
      </w:r>
      <w:proofErr w:type="spellStart"/>
      <w:r w:rsidRPr="001C0C0B">
        <w:rPr>
          <w:i/>
          <w:iCs/>
        </w:rPr>
        <w:t>Watcham's</w:t>
      </w:r>
      <w:proofErr w:type="spellEnd"/>
      <w:r w:rsidRPr="001C0C0B">
        <w:t> case </w:t>
      </w:r>
      <w:bookmarkStart w:id="48" w:name="1979-2-NSWLR-605.fnr_u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"1979-2-NSWLR-605.fn_u"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(21)</w:t>
      </w:r>
      <w:r w:rsidRPr="001C0C0B">
        <w:fldChar w:fldCharType="end"/>
      </w:r>
      <w:bookmarkEnd w:id="48"/>
      <w:r w:rsidRPr="001C0C0B">
        <w:t> applies only where it does.</w:t>
      </w:r>
      <w:r w:rsidRPr="001C0C0B">
        <w:br/>
        <w:t>In </w:t>
      </w:r>
      <w:r w:rsidRPr="001C0C0B">
        <w:rPr>
          <w:i/>
          <w:iCs/>
        </w:rPr>
        <w:t>Schuler's</w:t>
      </w:r>
      <w:r w:rsidRPr="001C0C0B">
        <w:t> case </w:t>
      </w:r>
      <w:bookmarkStart w:id="49" w:name="1979-2-NSWLR-605.fnr_v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"1979-2-NSWLR-605.fn_v"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(22)</w:t>
      </w:r>
      <w:r w:rsidRPr="001C0C0B">
        <w:fldChar w:fldCharType="end"/>
      </w:r>
      <w:bookmarkEnd w:id="49"/>
      <w:r w:rsidRPr="001C0C0B">
        <w:t> Lord Wilberforce said: “But ambiguity in this</w:t>
      </w:r>
      <w:r w:rsidRPr="001C0C0B">
        <w:br/>
        <w:t>context is not to be equated with difficulty of construction, even difficulty</w:t>
      </w:r>
      <w:r w:rsidRPr="001C0C0B">
        <w:br/>
        <w:t>to a point where judicial opinion as to meaning has differed.”</w:t>
      </w:r>
    </w:p>
    <w:p w:rsidR="001C0C0B" w:rsidRPr="001C0C0B" w:rsidRDefault="001C0C0B" w:rsidP="001C0C0B">
      <w:r w:rsidRPr="001C0C0B">
        <w:t>The expression “right of way” is not ambiguous. In different contexts it</w:t>
      </w:r>
      <w:r w:rsidRPr="001C0C0B">
        <w:br/>
        <w:t>may mean different things, but, in construing the expression, the court is</w:t>
      </w:r>
      <w:r w:rsidRPr="001C0C0B">
        <w:br/>
        <w:t>required only to find its meaning in the context in which it appears. Its</w:t>
      </w:r>
      <w:r w:rsidRPr="001C0C0B">
        <w:br/>
        <w:t>use does not import ambiguity. Its use, without more, does, however</w:t>
      </w:r>
      <w:r w:rsidRPr="001C0C0B">
        <w:br/>
        <w:t>“call aloud for an examination of the surrounding circumstances”—</w:t>
      </w:r>
      <w:r w:rsidRPr="001C0C0B">
        <w:rPr>
          <w:i/>
          <w:iCs/>
        </w:rPr>
        <w:t>St</w:t>
      </w:r>
      <w:proofErr w:type="gramStart"/>
      <w:r w:rsidRPr="001C0C0B">
        <w:rPr>
          <w:i/>
          <w:iCs/>
        </w:rPr>
        <w:t>.</w:t>
      </w:r>
      <w:proofErr w:type="gramEnd"/>
      <w:r w:rsidRPr="001C0C0B">
        <w:rPr>
          <w:i/>
          <w:iCs/>
        </w:rPr>
        <w:br/>
      </w:r>
      <w:proofErr w:type="spellStart"/>
      <w:r w:rsidRPr="001C0C0B">
        <w:rPr>
          <w:i/>
          <w:iCs/>
        </w:rPr>
        <w:t>Edmundsbury</w:t>
      </w:r>
      <w:proofErr w:type="spellEnd"/>
      <w:r w:rsidRPr="001C0C0B">
        <w:rPr>
          <w:i/>
          <w:iCs/>
        </w:rPr>
        <w:t xml:space="preserve"> and Ipswich Diocesan Board of Finance v. Clark (No. 2)</w:t>
      </w:r>
      <w:r w:rsidRPr="001C0C0B">
        <w:br/>
      </w:r>
      <w:bookmarkStart w:id="50" w:name="1979-2-NSWLR-605.fnr_w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"1979-2-NSWLR-605.fn_w"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(23)</w:t>
      </w:r>
      <w:r w:rsidRPr="001C0C0B">
        <w:fldChar w:fldCharType="end"/>
      </w:r>
      <w:bookmarkEnd w:id="50"/>
      <w:r w:rsidRPr="001C0C0B">
        <w:t>.</w:t>
      </w:r>
    </w:p>
    <w:p w:rsidR="001C0C0B" w:rsidRPr="001C0C0B" w:rsidRDefault="001C0C0B" w:rsidP="001C0C0B">
      <w:r w:rsidRPr="001C0C0B">
        <w:t>What, then, are the surrounding circumstances? The plaintiffs point to</w:t>
      </w:r>
      <w:r w:rsidRPr="001C0C0B">
        <w:br/>
        <w:t>several circumstances which they claim show that the parties intended</w:t>
      </w:r>
    </w:p>
    <w:bookmarkStart w:id="51" w:name="1979-2-NSWLR-605.fn_f"/>
    <w:bookmarkEnd w:id="51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"1979-2-NSWLR-605.fnr_f" </w:instrText>
      </w:r>
      <w:r w:rsidRPr="001C0C0B">
        <w:fldChar w:fldCharType="separate"/>
      </w:r>
      <w:r w:rsidRPr="001C0C0B">
        <w:rPr>
          <w:rStyle w:val="Hyperlink"/>
        </w:rPr>
        <w:t>(6)</w:t>
      </w:r>
      <w:r w:rsidRPr="001C0C0B">
        <w:fldChar w:fldCharType="end"/>
      </w:r>
      <w:r w:rsidRPr="001C0C0B">
        <w:t> [1919] A.C. 533.</w:t>
      </w:r>
      <w:bookmarkStart w:id="52" w:name="1979-2-NSWLR-605.fn_g"/>
      <w:bookmarkEnd w:id="52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"1979-2-NSWLR-605.fnr_g" </w:instrText>
      </w:r>
      <w:r w:rsidRPr="001C0C0B">
        <w:fldChar w:fldCharType="separate"/>
      </w:r>
      <w:r w:rsidRPr="001C0C0B">
        <w:rPr>
          <w:rStyle w:val="Hyperlink"/>
        </w:rPr>
        <w:t>(7)</w:t>
      </w:r>
      <w:r w:rsidRPr="001C0C0B">
        <w:fldChar w:fldCharType="end"/>
      </w:r>
      <w:r w:rsidRPr="001C0C0B">
        <w:t> [1919] A.C. 533, at p. 540.</w:t>
      </w:r>
      <w:bookmarkStart w:id="53" w:name="1979-2-NSWLR-605.fn_h"/>
      <w:bookmarkEnd w:id="53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"1979-2-NSWLR-605.fnr_h" </w:instrText>
      </w:r>
      <w:r w:rsidRPr="001C0C0B">
        <w:fldChar w:fldCharType="separate"/>
      </w:r>
      <w:r w:rsidRPr="001C0C0B">
        <w:rPr>
          <w:rStyle w:val="Hyperlink"/>
        </w:rPr>
        <w:t>(8)</w:t>
      </w:r>
      <w:r w:rsidRPr="001C0C0B">
        <w:fldChar w:fldCharType="end"/>
      </w:r>
      <w:r w:rsidRPr="001C0C0B">
        <w:t> [1970] A.C. 583, at pp. 603, 606, 611, 614, 615.</w:t>
      </w:r>
      <w:bookmarkStart w:id="54" w:name="1979-2-NSWLR-605.fn_i"/>
      <w:bookmarkEnd w:id="5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"1979-2-NSWLR-605.fnr_i" </w:instrText>
      </w:r>
      <w:r w:rsidRPr="001C0C0B">
        <w:fldChar w:fldCharType="separate"/>
      </w:r>
      <w:r w:rsidRPr="001C0C0B">
        <w:rPr>
          <w:rStyle w:val="Hyperlink"/>
        </w:rPr>
        <w:t>(9)</w:t>
      </w:r>
      <w:r w:rsidRPr="001C0C0B">
        <w:fldChar w:fldCharType="end"/>
      </w:r>
      <w:r w:rsidRPr="001C0C0B">
        <w:t> [1974] A.C. 235.</w:t>
      </w:r>
      <w:bookmarkStart w:id="55" w:name="1979-2-NSWLR-605.fn_j"/>
      <w:bookmarkEnd w:id="55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"1979-2-NSWLR-605.fnr_j" </w:instrText>
      </w:r>
      <w:r w:rsidRPr="001C0C0B">
        <w:fldChar w:fldCharType="separate"/>
      </w:r>
      <w:r w:rsidRPr="001C0C0B">
        <w:rPr>
          <w:rStyle w:val="Hyperlink"/>
        </w:rPr>
        <w:t>(10)</w:t>
      </w:r>
      <w:r w:rsidRPr="001C0C0B">
        <w:fldChar w:fldCharType="end"/>
      </w:r>
      <w:r w:rsidRPr="001C0C0B">
        <w:t> [1974] A.C. 235, at p. 252.</w:t>
      </w:r>
      <w:bookmarkStart w:id="56" w:name="1979-2-NSWLR-605.fn_k"/>
      <w:bookmarkEnd w:id="56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"1979-2-NSWLR-605.fnr_k" </w:instrText>
      </w:r>
      <w:r w:rsidRPr="001C0C0B">
        <w:fldChar w:fldCharType="separate"/>
      </w:r>
      <w:r w:rsidRPr="001C0C0B">
        <w:rPr>
          <w:rStyle w:val="Hyperlink"/>
        </w:rPr>
        <w:t>(11)</w:t>
      </w:r>
      <w:r w:rsidRPr="001C0C0B">
        <w:fldChar w:fldCharType="end"/>
      </w:r>
      <w:r w:rsidRPr="001C0C0B">
        <w:t> [1974] A.C. 235, at p. 260.</w:t>
      </w:r>
      <w:bookmarkStart w:id="57" w:name="1979-2-NSWLR-605.fn_l"/>
      <w:bookmarkEnd w:id="57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"1979-2-NSWLR-605.fnr_l" </w:instrText>
      </w:r>
      <w:r w:rsidRPr="001C0C0B">
        <w:fldChar w:fldCharType="separate"/>
      </w:r>
      <w:r w:rsidRPr="001C0C0B">
        <w:rPr>
          <w:rStyle w:val="Hyperlink"/>
        </w:rPr>
        <w:t>(12)</w:t>
      </w:r>
      <w:r w:rsidRPr="001C0C0B">
        <w:fldChar w:fldCharType="end"/>
      </w:r>
      <w:r w:rsidRPr="001C0C0B">
        <w:t> [1974] A.C. 235, at p. 261.</w:t>
      </w:r>
      <w:bookmarkStart w:id="58" w:name="1979-2-NSWLR-605.fn_m"/>
      <w:bookmarkEnd w:id="58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"1979-2-NSWLR-605.fnr_m" </w:instrText>
      </w:r>
      <w:r w:rsidRPr="001C0C0B">
        <w:fldChar w:fldCharType="separate"/>
      </w:r>
      <w:r w:rsidRPr="001C0C0B">
        <w:rPr>
          <w:rStyle w:val="Hyperlink"/>
        </w:rPr>
        <w:t>(13)</w:t>
      </w:r>
      <w:r w:rsidRPr="001C0C0B">
        <w:fldChar w:fldCharType="end"/>
      </w:r>
      <w:r w:rsidRPr="001C0C0B">
        <w:t> [1919] A.C. 533.</w:t>
      </w:r>
      <w:bookmarkStart w:id="59" w:name="1979-2-NSWLR-605.fn_n"/>
      <w:bookmarkEnd w:id="59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"1979-2-NSWLR-605.fnr_n" </w:instrText>
      </w:r>
      <w:r w:rsidRPr="001C0C0B">
        <w:fldChar w:fldCharType="separate"/>
      </w:r>
      <w:r w:rsidRPr="001C0C0B">
        <w:rPr>
          <w:rStyle w:val="Hyperlink"/>
        </w:rPr>
        <w:t>(14)</w:t>
      </w:r>
      <w:r w:rsidRPr="001C0C0B">
        <w:fldChar w:fldCharType="end"/>
      </w:r>
      <w:r w:rsidRPr="001C0C0B">
        <w:t> [1974] A.C. 235, at p. 269.</w:t>
      </w:r>
      <w:bookmarkStart w:id="60" w:name="1979-2-NSWLR-605.fn_o"/>
      <w:bookmarkEnd w:id="60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"1979-2-NSWLR-605.fnr_o" </w:instrText>
      </w:r>
      <w:r w:rsidRPr="001C0C0B">
        <w:fldChar w:fldCharType="separate"/>
      </w:r>
      <w:r w:rsidRPr="001C0C0B">
        <w:rPr>
          <w:rStyle w:val="Hyperlink"/>
        </w:rPr>
        <w:t>(15)</w:t>
      </w:r>
      <w:r w:rsidRPr="001C0C0B">
        <w:fldChar w:fldCharType="end"/>
      </w:r>
      <w:r w:rsidRPr="001C0C0B">
        <w:t> [1974] A.C. 235.</w:t>
      </w:r>
      <w:bookmarkStart w:id="61" w:name="1979-2-NSWLR-605.fn_p"/>
      <w:bookmarkEnd w:id="61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"1979-2-NSWLR-605.fnr_p" </w:instrText>
      </w:r>
      <w:r w:rsidRPr="001C0C0B">
        <w:fldChar w:fldCharType="separate"/>
      </w:r>
      <w:r w:rsidRPr="001C0C0B">
        <w:rPr>
          <w:rStyle w:val="Hyperlink"/>
        </w:rPr>
        <w:t>(16)</w:t>
      </w:r>
      <w:r w:rsidRPr="001C0C0B">
        <w:fldChar w:fldCharType="end"/>
      </w:r>
      <w:r w:rsidRPr="001C0C0B">
        <w:t> [1974] A.C. 235, at p. 272.</w:t>
      </w:r>
      <w:bookmarkStart w:id="62" w:name="1979-2-NSWLR-605.fn_q"/>
      <w:bookmarkEnd w:id="62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"1979-2-NSWLR-605.fnr_q" </w:instrText>
      </w:r>
      <w:r w:rsidRPr="001C0C0B">
        <w:fldChar w:fldCharType="separate"/>
      </w:r>
      <w:r w:rsidRPr="001C0C0B">
        <w:rPr>
          <w:rStyle w:val="Hyperlink"/>
        </w:rPr>
        <w:t>(17)</w:t>
      </w:r>
      <w:r w:rsidRPr="001C0C0B">
        <w:fldChar w:fldCharType="end"/>
      </w:r>
      <w:r w:rsidRPr="001C0C0B">
        <w:t> [1919] A.C. 533.</w:t>
      </w:r>
      <w:bookmarkStart w:id="63" w:name="1979-2-NSWLR-605.fn_r"/>
      <w:bookmarkEnd w:id="63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"1979-2-NSWLR-605.fnr_r" </w:instrText>
      </w:r>
      <w:r w:rsidRPr="001C0C0B">
        <w:fldChar w:fldCharType="separate"/>
      </w:r>
      <w:r w:rsidRPr="001C0C0B">
        <w:rPr>
          <w:rStyle w:val="Hyperlink"/>
        </w:rPr>
        <w:t>(18)</w:t>
      </w:r>
      <w:r w:rsidRPr="001C0C0B">
        <w:fldChar w:fldCharType="end"/>
      </w:r>
      <w:r w:rsidRPr="001C0C0B">
        <w:t> (1973) 130 C.L.R. 353, at p. 446.</w:t>
      </w:r>
      <w:bookmarkStart w:id="64" w:name="1979-2-NSWLR-605.fn_s"/>
      <w:bookmarkEnd w:id="6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"1979-2-NSWLR-605.fnr_s" </w:instrText>
      </w:r>
      <w:r w:rsidRPr="001C0C0B">
        <w:fldChar w:fldCharType="separate"/>
      </w:r>
      <w:r w:rsidRPr="001C0C0B">
        <w:rPr>
          <w:rStyle w:val="Hyperlink"/>
        </w:rPr>
        <w:t>(19)</w:t>
      </w:r>
      <w:r w:rsidRPr="001C0C0B">
        <w:fldChar w:fldCharType="end"/>
      </w:r>
      <w:r w:rsidRPr="001C0C0B">
        <w:t> [1919] A.C. 533.</w:t>
      </w:r>
      <w:bookmarkStart w:id="65" w:name="1979-2-NSWLR-605.fn_t"/>
      <w:bookmarkEnd w:id="65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"1979-2-NSWLR-605.fnr_t" </w:instrText>
      </w:r>
      <w:r w:rsidRPr="001C0C0B">
        <w:fldChar w:fldCharType="separate"/>
      </w:r>
      <w:r w:rsidRPr="001C0C0B">
        <w:rPr>
          <w:rStyle w:val="Hyperlink"/>
        </w:rPr>
        <w:t>(20)</w:t>
      </w:r>
      <w:r w:rsidRPr="001C0C0B">
        <w:fldChar w:fldCharType="end"/>
      </w:r>
      <w:r w:rsidRPr="001C0C0B">
        <w:t> [1919] A.C. 533.</w:t>
      </w:r>
      <w:bookmarkStart w:id="66" w:name="1979-2-NSWLR-605.fn_u"/>
      <w:bookmarkEnd w:id="66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"1979-2-NSWLR-605.fnr_u" </w:instrText>
      </w:r>
      <w:r w:rsidRPr="001C0C0B">
        <w:fldChar w:fldCharType="separate"/>
      </w:r>
      <w:r w:rsidRPr="001C0C0B">
        <w:rPr>
          <w:rStyle w:val="Hyperlink"/>
        </w:rPr>
        <w:t>(21)</w:t>
      </w:r>
      <w:r w:rsidRPr="001C0C0B">
        <w:fldChar w:fldCharType="end"/>
      </w:r>
      <w:r w:rsidRPr="001C0C0B">
        <w:t> [1919] A.C. 533.</w:t>
      </w:r>
      <w:bookmarkStart w:id="67" w:name="1979-2-NSWLR-605.fn_v"/>
      <w:bookmarkEnd w:id="67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"1979-2-NSWLR-605.fnr_v" </w:instrText>
      </w:r>
      <w:r w:rsidRPr="001C0C0B">
        <w:fldChar w:fldCharType="separate"/>
      </w:r>
      <w:r w:rsidRPr="001C0C0B">
        <w:rPr>
          <w:rStyle w:val="Hyperlink"/>
        </w:rPr>
        <w:t>(22)</w:t>
      </w:r>
      <w:r w:rsidRPr="001C0C0B">
        <w:fldChar w:fldCharType="end"/>
      </w:r>
      <w:r w:rsidRPr="001C0C0B">
        <w:t> [1974] A.C. 235, at p. 261.</w:t>
      </w:r>
      <w:bookmarkStart w:id="68" w:name="1979-2-NSWLR-605.fn_w"/>
      <w:bookmarkEnd w:id="68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"1979-2-NSWLR-605.fnr_w" </w:instrText>
      </w:r>
      <w:r w:rsidRPr="001C0C0B">
        <w:fldChar w:fldCharType="separate"/>
      </w:r>
      <w:r w:rsidRPr="001C0C0B">
        <w:rPr>
          <w:rStyle w:val="Hyperlink"/>
        </w:rPr>
        <w:t>(23)</w:t>
      </w:r>
      <w:r w:rsidRPr="001C0C0B">
        <w:fldChar w:fldCharType="end"/>
      </w:r>
      <w:r w:rsidRPr="001C0C0B">
        <w:t> [1975] 1 W.L.R. 468, at p. 477; [1975] 1 All E.R. 772, at p. 780.</w:t>
      </w:r>
    </w:p>
    <w:p w:rsidR="001C0C0B" w:rsidRPr="001C0C0B" w:rsidRDefault="001C0C0B" w:rsidP="001C0C0B">
      <w:bookmarkStart w:id="69" w:name="PAGE_612"/>
      <w:bookmarkStart w:id="70" w:name="TAADAAF"/>
      <w:bookmarkEnd w:id="69"/>
      <w:bookmarkEnd w:id="70"/>
      <w:r w:rsidRPr="001C0C0B">
        <w:rPr>
          <w:i/>
          <w:iCs/>
        </w:rPr>
        <w:t>[1979] 2 NSWLR 605 at 612</w:t>
      </w:r>
    </w:p>
    <w:p w:rsidR="001C0C0B" w:rsidRPr="001C0C0B" w:rsidRDefault="001C0C0B" w:rsidP="001C0C0B">
      <w:proofErr w:type="gramStart"/>
      <w:r w:rsidRPr="001C0C0B">
        <w:t>that</w:t>
      </w:r>
      <w:proofErr w:type="gramEnd"/>
      <w:r w:rsidRPr="001C0C0B">
        <w:t xml:space="preserve"> this strip should be used only as a footway. They point to matters</w:t>
      </w:r>
      <w:r w:rsidRPr="001C0C0B">
        <w:br/>
        <w:t>which occurred or became apparent after the date of the grant, but I</w:t>
      </w:r>
      <w:r w:rsidRPr="001C0C0B">
        <w:br/>
        <w:t>have already given reasons for saying that such things cannot be taken</w:t>
      </w:r>
      <w:r w:rsidRPr="001C0C0B">
        <w:br/>
        <w:t>into account. However, they point to the fact that, in the unfinished</w:t>
      </w:r>
      <w:r w:rsidRPr="001C0C0B">
        <w:br/>
        <w:t>“</w:t>
      </w:r>
      <w:proofErr w:type="spellStart"/>
      <w:r w:rsidRPr="001C0C0B">
        <w:t>Rotherwood</w:t>
      </w:r>
      <w:proofErr w:type="spellEnd"/>
      <w:r w:rsidRPr="001C0C0B">
        <w:t>”, there was no arrangement for the parking or the turning</w:t>
      </w:r>
      <w:r w:rsidRPr="001C0C0B">
        <w:br/>
        <w:t>of vehicles. They point to the further fact that the strip would</w:t>
      </w:r>
      <w:r w:rsidRPr="001C0C0B">
        <w:br/>
        <w:t>undoubtedly, in the future, be used as the street approach to “Coronel”</w:t>
      </w:r>
      <w:r w:rsidRPr="001C0C0B">
        <w:br/>
      </w:r>
      <w:proofErr w:type="spellStart"/>
      <w:r w:rsidRPr="001C0C0B">
        <w:t>and“Maronor</w:t>
      </w:r>
      <w:proofErr w:type="spellEnd"/>
      <w:r w:rsidRPr="001C0C0B">
        <w:t>”, as indeed it so transpired. There is no vehicle approach</w:t>
      </w:r>
      <w:r w:rsidRPr="001C0C0B">
        <w:br/>
        <w:t>possible to those buildings because of the drop in levels from Kurraba</w:t>
      </w:r>
      <w:r w:rsidRPr="001C0C0B">
        <w:br/>
        <w:t>Road. Further, it is suggested that the area between the building</w:t>
      </w:r>
      <w:r w:rsidRPr="001C0C0B">
        <w:br/>
        <w:t>“</w:t>
      </w:r>
      <w:proofErr w:type="spellStart"/>
      <w:r w:rsidRPr="001C0C0B">
        <w:t>Rotherwood</w:t>
      </w:r>
      <w:proofErr w:type="spellEnd"/>
      <w:r w:rsidRPr="001C0C0B">
        <w:t>” and the land upon which “Coronel” was subsequently</w:t>
      </w:r>
      <w:r w:rsidRPr="001C0C0B">
        <w:br/>
        <w:t>erected was unsuited to the access or parking of vehicles, because of the</w:t>
      </w:r>
      <w:r w:rsidRPr="001C0C0B">
        <w:br/>
        <w:t>intended use of that area for the drying of clothes.</w:t>
      </w:r>
    </w:p>
    <w:p w:rsidR="001C0C0B" w:rsidRPr="001C0C0B" w:rsidRDefault="001C0C0B" w:rsidP="001C0C0B">
      <w:r w:rsidRPr="001C0C0B">
        <w:t>I do not think that any of these factors can tip the scales in favour of</w:t>
      </w:r>
      <w:r w:rsidRPr="001C0C0B">
        <w:br/>
        <w:t>the plaintiffs, when balanced against the most critical fact of all, namely</w:t>
      </w:r>
      <w:proofErr w:type="gramStart"/>
      <w:r w:rsidRPr="001C0C0B">
        <w:t>,</w:t>
      </w:r>
      <w:proofErr w:type="gramEnd"/>
      <w:r w:rsidRPr="001C0C0B">
        <w:br/>
      </w:r>
      <w:r w:rsidRPr="001C0C0B">
        <w:lastRenderedPageBreak/>
        <w:t>that a right of way 12 feet wide was granted to the owners of a building</w:t>
      </w:r>
      <w:r w:rsidRPr="001C0C0B">
        <w:br/>
        <w:t>who already had a footway from the road to the rear of the building 4</w:t>
      </w:r>
      <w:r w:rsidRPr="001C0C0B">
        <w:br/>
        <w:t>feet 8 inches wide. The grant of a footway was, in my opinion</w:t>
      </w:r>
      <w:proofErr w:type="gramStart"/>
      <w:r w:rsidRPr="001C0C0B">
        <w:t>,</w:t>
      </w:r>
      <w:proofErr w:type="gramEnd"/>
      <w:r w:rsidRPr="001C0C0B">
        <w:br/>
        <w:t>superfluous: cf. </w:t>
      </w:r>
      <w:r w:rsidRPr="001C0C0B">
        <w:rPr>
          <w:i/>
          <w:iCs/>
        </w:rPr>
        <w:t>Keefe v. Amor</w:t>
      </w:r>
      <w:r w:rsidRPr="001C0C0B">
        <w:t> </w:t>
      </w:r>
      <w:bookmarkStart w:id="71" w:name="1979-2-NSWLR-605.fnr_x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"1979-2-NSWLR-605.fn_x"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(24)</w:t>
      </w:r>
      <w:r w:rsidRPr="001C0C0B">
        <w:fldChar w:fldCharType="end"/>
      </w:r>
      <w:bookmarkEnd w:id="71"/>
      <w:r w:rsidRPr="001C0C0B">
        <w:t>. The grant of such a right of way</w:t>
      </w:r>
      <w:proofErr w:type="gramStart"/>
      <w:r w:rsidRPr="001C0C0B">
        <w:t>,</w:t>
      </w:r>
      <w:proofErr w:type="gramEnd"/>
      <w:r w:rsidRPr="001C0C0B">
        <w:br/>
        <w:t>without express limitations, must, I think, when the surrounding</w:t>
      </w:r>
      <w:r w:rsidRPr="001C0C0B">
        <w:br/>
        <w:t>circumstances are taken into account, lead a court to construe it as a right</w:t>
      </w:r>
      <w:r w:rsidRPr="001C0C0B">
        <w:br/>
        <w:t>of way for all purposes suitable to the needs of the grantee and to the</w:t>
      </w:r>
      <w:r w:rsidRPr="001C0C0B">
        <w:br/>
        <w:t>essential conditions of the way. The facts in </w:t>
      </w:r>
      <w:r w:rsidRPr="001C0C0B">
        <w:rPr>
          <w:i/>
          <w:iCs/>
        </w:rPr>
        <w:t>Keefe v. Amor</w:t>
      </w:r>
      <w:r w:rsidRPr="001C0C0B">
        <w:t> </w:t>
      </w:r>
      <w:bookmarkStart w:id="72" w:name="1979-2-NSWLR-605.fnr_y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"1979-2-NSWLR-605.fn_y"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(25)</w:t>
      </w:r>
      <w:r w:rsidRPr="001C0C0B">
        <w:fldChar w:fldCharType="end"/>
      </w:r>
      <w:bookmarkEnd w:id="72"/>
      <w:r w:rsidRPr="001C0C0B">
        <w:t> call more</w:t>
      </w:r>
      <w:r w:rsidRPr="001C0C0B">
        <w:br/>
        <w:t>strongly than those in the present case for a conclusion that the grant</w:t>
      </w:r>
      <w:r w:rsidRPr="001C0C0B">
        <w:br/>
        <w:t>was limited by the circumstances of the way at the date of the grant, but</w:t>
      </w:r>
      <w:r w:rsidRPr="001C0C0B">
        <w:br/>
        <w:t>the Court of Appeal held that the grant was not so limited. None of the</w:t>
      </w:r>
      <w:r w:rsidRPr="001C0C0B">
        <w:br/>
        <w:t>matters relied on by the plaintiffs, in my opinion, should lead to a</w:t>
      </w:r>
      <w:r w:rsidRPr="001C0C0B">
        <w:br/>
        <w:t>restriction on the grant.</w:t>
      </w:r>
    </w:p>
    <w:p w:rsidR="001C0C0B" w:rsidRPr="001C0C0B" w:rsidRDefault="001C0C0B" w:rsidP="001C0C0B">
      <w:r w:rsidRPr="001C0C0B">
        <w:t>The question then arises whether the right of way, so far as it</w:t>
      </w:r>
      <w:r w:rsidRPr="001C0C0B">
        <w:br/>
        <w:t>authorized use beyond pedestrian use, has been abandoned. This question</w:t>
      </w:r>
      <w:r w:rsidRPr="001C0C0B">
        <w:br/>
        <w:t>divides into two, namely, whether a grantee can abandon his right to</w:t>
      </w:r>
      <w:r w:rsidRPr="001C0C0B">
        <w:br/>
        <w:t>exercise one or more of the permissible uses of the way and, secondly</w:t>
      </w:r>
      <w:proofErr w:type="gramStart"/>
      <w:r w:rsidRPr="001C0C0B">
        <w:t>,</w:t>
      </w:r>
      <w:proofErr w:type="gramEnd"/>
      <w:r w:rsidRPr="001C0C0B">
        <w:br/>
        <w:t>whether the evidence in this case leads to a conclusion of such</w:t>
      </w:r>
      <w:r w:rsidRPr="001C0C0B">
        <w:br/>
        <w:t>abandonment. A further point was argued on behalf of the defendants</w:t>
      </w:r>
      <w:proofErr w:type="gramStart"/>
      <w:r w:rsidRPr="001C0C0B">
        <w:t>,</w:t>
      </w:r>
      <w:proofErr w:type="gramEnd"/>
      <w:r w:rsidRPr="001C0C0B">
        <w:br/>
        <w:t>namely, that, before abandonment of an easement which is noted on the</w:t>
      </w:r>
      <w:r w:rsidRPr="001C0C0B">
        <w:br/>
        <w:t>certificate of title of the dominant tenement can be held to have been</w:t>
      </w:r>
      <w:r w:rsidRPr="001C0C0B">
        <w:br/>
        <w:t>established under s. 89 (1) (b) of the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</w:t>
      </w:r>
      <w:r w:rsidRPr="001C0C0B">
        <w:t>, it must be shown</w:t>
      </w:r>
      <w:r w:rsidRPr="001C0C0B">
        <w:br/>
        <w:t>that the proprietors of the dominant tenement registered as such at the</w:t>
      </w:r>
      <w:r w:rsidRPr="001C0C0B">
        <w:br/>
        <w:t>time of the proceedings have abandoned the easement.</w:t>
      </w:r>
    </w:p>
    <w:p w:rsidR="001C0C0B" w:rsidRPr="001C0C0B" w:rsidRDefault="001C0C0B" w:rsidP="001C0C0B">
      <w:r w:rsidRPr="001C0C0B">
        <w:t>I consider, first, the question whether the owner of the dominant</w:t>
      </w:r>
      <w:r w:rsidRPr="001C0C0B">
        <w:br/>
        <w:t>tenement, by appropriate acts or omissions, may abandon, or be held to</w:t>
      </w:r>
      <w:r w:rsidRPr="001C0C0B">
        <w:br/>
        <w:t>have abandoned, part of the rights granted by an easement. I approach</w:t>
      </w:r>
      <w:r w:rsidRPr="001C0C0B">
        <w:br/>
        <w:t>the question initially without reference to any complications which might</w:t>
      </w:r>
      <w:r w:rsidRPr="001C0C0B">
        <w:br/>
        <w:t>arise from the fact that the easement is noted on the registered title of the</w:t>
      </w:r>
      <w:r w:rsidRPr="001C0C0B">
        <w:br/>
        <w:t>dominant tenement.</w:t>
      </w:r>
    </w:p>
    <w:p w:rsidR="001C0C0B" w:rsidRPr="001C0C0B" w:rsidRDefault="001C0C0B" w:rsidP="001C0C0B">
      <w:r w:rsidRPr="001C0C0B">
        <w:t>As a matter of pure theory, there seems to be no reason why the law</w:t>
      </w:r>
      <w:r w:rsidRPr="001C0C0B">
        <w:br/>
        <w:t>should not recognize such a partial abandonment. An easement is not</w:t>
      </w:r>
      <w:r w:rsidRPr="001C0C0B">
        <w:br/>
        <w:t>unlike a fee simple, in the sense that it comprises a number of rights. In</w:t>
      </w:r>
      <w:r w:rsidRPr="001C0C0B">
        <w:br/>
        <w:t xml:space="preserve">each case, they are rights which </w:t>
      </w:r>
      <w:proofErr w:type="spellStart"/>
      <w:r w:rsidRPr="001C0C0B">
        <w:t>enure</w:t>
      </w:r>
      <w:proofErr w:type="spellEnd"/>
      <w:r w:rsidRPr="001C0C0B">
        <w:t xml:space="preserve"> to the benefit of the dominant</w:t>
      </w:r>
      <w:r w:rsidRPr="001C0C0B">
        <w:br/>
        <w:t xml:space="preserve">tenement, and to the detriment of the </w:t>
      </w:r>
      <w:proofErr w:type="spellStart"/>
      <w:r w:rsidRPr="001C0C0B">
        <w:t>servient</w:t>
      </w:r>
      <w:proofErr w:type="spellEnd"/>
      <w:r w:rsidRPr="001C0C0B">
        <w:t>. It is open to contracting</w:t>
      </w:r>
      <w:r w:rsidRPr="001C0C0B">
        <w:br/>
        <w:t>parties to provide that an easement, particularly in the case of a non-</w:t>
      </w:r>
      <w:r w:rsidRPr="001C0C0B">
        <w:br/>
        <w:t>continuous easement such as a right of way, shall include certain of such</w:t>
      </w:r>
    </w:p>
    <w:bookmarkStart w:id="73" w:name="1979-2-NSWLR-605.fn_x"/>
    <w:bookmarkEnd w:id="73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"1979-2-NSWLR-605.fnr_x" </w:instrText>
      </w:r>
      <w:r w:rsidRPr="001C0C0B">
        <w:fldChar w:fldCharType="separate"/>
      </w:r>
      <w:r w:rsidRPr="001C0C0B">
        <w:rPr>
          <w:rStyle w:val="Hyperlink"/>
        </w:rPr>
        <w:t>(24)</w:t>
      </w:r>
      <w:r w:rsidRPr="001C0C0B">
        <w:fldChar w:fldCharType="end"/>
      </w:r>
      <w:r w:rsidRPr="001C0C0B">
        <w:t> [1965] 1 Q.B. 334, at p. 345.</w:t>
      </w:r>
      <w:bookmarkStart w:id="74" w:name="1979-2-NSWLR-605.fn_y"/>
      <w:bookmarkEnd w:id="7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"1979-2-NSWLR-605.fnr_y" </w:instrText>
      </w:r>
      <w:r w:rsidRPr="001C0C0B">
        <w:fldChar w:fldCharType="separate"/>
      </w:r>
      <w:r w:rsidRPr="001C0C0B">
        <w:rPr>
          <w:rStyle w:val="Hyperlink"/>
        </w:rPr>
        <w:t>(25)</w:t>
      </w:r>
      <w:r w:rsidRPr="001C0C0B">
        <w:fldChar w:fldCharType="end"/>
      </w:r>
      <w:r w:rsidRPr="001C0C0B">
        <w:t> [1965] 1 Q.B. 334.</w:t>
      </w:r>
    </w:p>
    <w:p w:rsidR="001C0C0B" w:rsidRPr="001C0C0B" w:rsidRDefault="001C0C0B" w:rsidP="001C0C0B">
      <w:bookmarkStart w:id="75" w:name="PAGE_613"/>
      <w:bookmarkStart w:id="76" w:name="TAADAAG"/>
      <w:bookmarkEnd w:id="75"/>
      <w:bookmarkEnd w:id="76"/>
      <w:r w:rsidRPr="001C0C0B">
        <w:rPr>
          <w:i/>
          <w:iCs/>
        </w:rPr>
        <w:t>[1979] 2 NSWLR 605 at 613</w:t>
      </w:r>
    </w:p>
    <w:p w:rsidR="001C0C0B" w:rsidRPr="001C0C0B" w:rsidRDefault="001C0C0B" w:rsidP="001C0C0B">
      <w:proofErr w:type="gramStart"/>
      <w:r w:rsidRPr="001C0C0B">
        <w:t>rights</w:t>
      </w:r>
      <w:proofErr w:type="gramEnd"/>
      <w:r w:rsidRPr="001C0C0B">
        <w:t xml:space="preserve"> and shall exclude others. An obvious example, in relation to a right</w:t>
      </w:r>
      <w:r w:rsidRPr="001C0C0B">
        <w:br/>
        <w:t>of way, can be found in Parts I and II of Sch. VIII to the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br/>
      </w:r>
      <w:r w:rsidRPr="001C0C0B">
        <w:rPr>
          <w:i/>
          <w:iCs/>
        </w:rPr>
        <w:lastRenderedPageBreak/>
        <w:t>Act</w:t>
      </w:r>
      <w:r w:rsidRPr="001C0C0B">
        <w:t>, that is, rights of carriageway and rights of footway. If such</w:t>
      </w:r>
      <w:r w:rsidRPr="001C0C0B">
        <w:br/>
        <w:t>separation of rights can be achieved expressly, I can see no reason why</w:t>
      </w:r>
      <w:r w:rsidRPr="001C0C0B">
        <w:br/>
        <w:t>they cannot be achieved by implication from conduct.</w:t>
      </w:r>
    </w:p>
    <w:p w:rsidR="001C0C0B" w:rsidRPr="001C0C0B" w:rsidRDefault="001C0C0B" w:rsidP="001C0C0B">
      <w:r w:rsidRPr="001C0C0B">
        <w:t>I was referred, on this subject, to two cases, namely, </w:t>
      </w:r>
      <w:r w:rsidRPr="001C0C0B">
        <w:rPr>
          <w:i/>
          <w:iCs/>
        </w:rPr>
        <w:t>Keewatin Power</w:t>
      </w:r>
      <w:r w:rsidRPr="001C0C0B">
        <w:rPr>
          <w:i/>
          <w:iCs/>
        </w:rPr>
        <w:br/>
        <w:t>Co. Ltd. v. Lake of the Woods Milling Co. Ltd.</w:t>
      </w:r>
      <w:r w:rsidRPr="001C0C0B">
        <w:t> </w:t>
      </w:r>
      <w:hyperlink r:id="rId5" w:anchor="1979-2-NSWLR-605.fn_z" w:history="1">
        <w:r w:rsidRPr="001C0C0B">
          <w:rPr>
            <w:rStyle w:val="Hyperlink"/>
            <w:vertAlign w:val="superscript"/>
          </w:rPr>
          <w:t>(26)</w:t>
        </w:r>
      </w:hyperlink>
      <w:r w:rsidRPr="001C0C0B">
        <w:t> and </w:t>
      </w:r>
      <w:proofErr w:type="spellStart"/>
      <w:r w:rsidRPr="001C0C0B">
        <w:rPr>
          <w:i/>
          <w:iCs/>
        </w:rPr>
        <w:t>Bulstrode</w:t>
      </w:r>
      <w:proofErr w:type="spellEnd"/>
      <w:r w:rsidRPr="001C0C0B">
        <w:rPr>
          <w:i/>
          <w:iCs/>
        </w:rPr>
        <w:t xml:space="preserve"> v.</w:t>
      </w:r>
      <w:r w:rsidRPr="001C0C0B">
        <w:rPr>
          <w:i/>
          <w:iCs/>
        </w:rPr>
        <w:br/>
        <w:t>Lambert</w:t>
      </w:r>
      <w:r w:rsidRPr="001C0C0B">
        <w:t> </w:t>
      </w:r>
      <w:bookmarkStart w:id="77" w:name="1979-2-NSWLR-605.fnr_aa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"1979-2-NSWLR-605.fn_aa"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(27)</w:t>
      </w:r>
      <w:r w:rsidRPr="001C0C0B">
        <w:fldChar w:fldCharType="end"/>
      </w:r>
      <w:bookmarkEnd w:id="77"/>
      <w:r w:rsidRPr="001C0C0B">
        <w:t>. On examination, these cases seem to me to deal more with</w:t>
      </w:r>
      <w:r w:rsidRPr="001C0C0B">
        <w:br/>
        <w:t>the question whether, in the proved circumstances, abandonment should</w:t>
      </w:r>
      <w:r w:rsidRPr="001C0C0B">
        <w:br/>
        <w:t>be inferred. In the former, the grant included a right to use water from</w:t>
      </w:r>
      <w:r w:rsidRPr="001C0C0B">
        <w:br/>
        <w:t>artificial channels from a lake. The Judicial Committee held that the</w:t>
      </w:r>
      <w:r w:rsidRPr="001C0C0B">
        <w:br/>
        <w:t>defendants had a right to use all the water that the channels could bring</w:t>
      </w:r>
      <w:r w:rsidRPr="001C0C0B">
        <w:br/>
        <w:t>them; user of less was no abandonment of the full right. Their Lordships</w:t>
      </w:r>
      <w:r w:rsidRPr="001C0C0B">
        <w:br/>
      </w:r>
      <w:proofErr w:type="gramStart"/>
      <w:r w:rsidRPr="001C0C0B">
        <w:t>said</w:t>
      </w:r>
      <w:bookmarkStart w:id="78" w:name="1979-2-NSWLR-605.fnr_ab"/>
      <w:proofErr w:type="gramEnd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"1979-2-NSWLR-605.fn_ab"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(28)</w:t>
      </w:r>
      <w:r w:rsidRPr="001C0C0B">
        <w:fldChar w:fldCharType="end"/>
      </w:r>
      <w:bookmarkEnd w:id="78"/>
      <w:r w:rsidRPr="001C0C0B">
        <w:t>: “When you are dealing with grant, the grantee may always, if</w:t>
      </w:r>
      <w:r w:rsidRPr="001C0C0B">
        <w:br/>
        <w:t>he chooses, not exercise his right under the grant to the full without in</w:t>
      </w:r>
      <w:r w:rsidRPr="001C0C0B">
        <w:br/>
        <w:t>any way prejudicing his full right if he finds it convenient to use it.”</w:t>
      </w:r>
    </w:p>
    <w:p w:rsidR="001C0C0B" w:rsidRPr="001C0C0B" w:rsidRDefault="001C0C0B" w:rsidP="001C0C0B">
      <w:r w:rsidRPr="001C0C0B">
        <w:t>It seems to me that there is a distinction between not using a single</w:t>
      </w:r>
      <w:r w:rsidRPr="001C0C0B">
        <w:br/>
        <w:t>right (e.g. the right to draw water, or to walk along a right of way) to the</w:t>
      </w:r>
      <w:r w:rsidRPr="001C0C0B">
        <w:br/>
        <w:t>full extent permitted and the omission to use one of a parcel of rights (e.g</w:t>
      </w:r>
      <w:proofErr w:type="gramStart"/>
      <w:r w:rsidRPr="001C0C0B">
        <w:t>.</w:t>
      </w:r>
      <w:proofErr w:type="gramEnd"/>
      <w:r w:rsidRPr="001C0C0B">
        <w:br/>
        <w:t>driving a vehicle along the site of a right of carriageway). In the former</w:t>
      </w:r>
      <w:r w:rsidRPr="001C0C0B">
        <w:br/>
        <w:t>case the right is exercised, albeit not to the full extent permitted, while in</w:t>
      </w:r>
      <w:r w:rsidRPr="001C0C0B">
        <w:br/>
        <w:t>the latter that particular right is not used at all.</w:t>
      </w:r>
    </w:p>
    <w:p w:rsidR="001C0C0B" w:rsidRPr="001C0C0B" w:rsidRDefault="001C0C0B" w:rsidP="001C0C0B">
      <w:proofErr w:type="spellStart"/>
      <w:r w:rsidRPr="001C0C0B">
        <w:rPr>
          <w:i/>
          <w:iCs/>
        </w:rPr>
        <w:t>Bulstrode</w:t>
      </w:r>
      <w:proofErr w:type="spellEnd"/>
      <w:r w:rsidRPr="001C0C0B">
        <w:rPr>
          <w:i/>
          <w:iCs/>
        </w:rPr>
        <w:t xml:space="preserve"> v. Lambert</w:t>
      </w:r>
      <w:r w:rsidRPr="001C0C0B">
        <w:t> </w:t>
      </w:r>
      <w:bookmarkStart w:id="79" w:name="1979-2-NSWLR-605.fnr_ac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"1979-2-NSWLR-605.fn_ac"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(29)</w:t>
      </w:r>
      <w:r w:rsidRPr="001C0C0B">
        <w:fldChar w:fldCharType="end"/>
      </w:r>
      <w:bookmarkEnd w:id="79"/>
      <w:r w:rsidRPr="001C0C0B">
        <w:t> seems on the surface to bear more closely</w:t>
      </w:r>
      <w:r w:rsidRPr="001C0C0B">
        <w:br/>
        <w:t>upon the present problem. There, the right of way, which was for use with</w:t>
      </w:r>
      <w:r w:rsidRPr="001C0C0B">
        <w:br/>
        <w:t>or without vehicles, was not used at all, although Upjohn J. did say </w:t>
      </w:r>
      <w:bookmarkStart w:id="80" w:name="1979-2-NSWLR-605.fnr_ad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"1979-2-NSWLR-605.fn_ad"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(30</w:t>
      </w:r>
      <w:proofErr w:type="gramStart"/>
      <w:r w:rsidRPr="001C0C0B">
        <w:rPr>
          <w:rStyle w:val="Hyperlink"/>
          <w:vertAlign w:val="superscript"/>
        </w:rPr>
        <w:t>)</w:t>
      </w:r>
      <w:proofErr w:type="gramEnd"/>
      <w:r w:rsidRPr="001C0C0B">
        <w:fldChar w:fldCharType="end"/>
      </w:r>
      <w:bookmarkEnd w:id="80"/>
      <w:r w:rsidRPr="001C0C0B">
        <w:br/>
        <w:t>that there may have been some user by foot. When the owner of the</w:t>
      </w:r>
      <w:r w:rsidRPr="001C0C0B">
        <w:br/>
      </w:r>
      <w:proofErr w:type="spellStart"/>
      <w:r w:rsidRPr="001C0C0B">
        <w:t>servient</w:t>
      </w:r>
      <w:proofErr w:type="spellEnd"/>
      <w:r w:rsidRPr="001C0C0B">
        <w:t xml:space="preserve"> tenement removed some dilapidated gates, the grantee </w:t>
      </w:r>
      <w:proofErr w:type="spellStart"/>
      <w:r w:rsidRPr="001C0C0B">
        <w:t>commenc</w:t>
      </w:r>
      <w:proofErr w:type="spellEnd"/>
      <w:r w:rsidRPr="001C0C0B">
        <w:softHyphen/>
      </w:r>
      <w:r w:rsidRPr="001C0C0B">
        <w:br/>
      </w:r>
      <w:proofErr w:type="spellStart"/>
      <w:proofErr w:type="gramStart"/>
      <w:r w:rsidRPr="001C0C0B">
        <w:t>ed</w:t>
      </w:r>
      <w:proofErr w:type="spellEnd"/>
      <w:proofErr w:type="gramEnd"/>
      <w:r w:rsidRPr="001C0C0B">
        <w:t xml:space="preserve"> to use the right of way. His Lordship, after citing the passage from</w:t>
      </w:r>
      <w:r w:rsidRPr="001C0C0B">
        <w:br/>
      </w:r>
      <w:r w:rsidRPr="001C0C0B">
        <w:rPr>
          <w:i/>
          <w:iCs/>
        </w:rPr>
        <w:t>Keewatin Power Co. Ltd. v. Lake of the Woods Milling Co. Ltd.</w:t>
      </w:r>
      <w:r w:rsidRPr="001C0C0B">
        <w:t> </w:t>
      </w:r>
      <w:bookmarkStart w:id="81" w:name="1979-2-NSWLR-605.fnr_ae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"1979-2-NSWLR-605.fn_ae"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(31)</w:t>
      </w:r>
      <w:r w:rsidRPr="001C0C0B">
        <w:fldChar w:fldCharType="end"/>
      </w:r>
      <w:bookmarkEnd w:id="81"/>
      <w:r w:rsidRPr="001C0C0B">
        <w:t>,</w:t>
      </w:r>
      <w:r w:rsidRPr="001C0C0B">
        <w:br/>
        <w:t>which I have set out above, said </w:t>
      </w:r>
      <w:bookmarkStart w:id="82" w:name="1979-2-NSWLR-605.fnr_af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"1979-2-NSWLR-605.fn_af"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(32)</w:t>
      </w:r>
      <w:r w:rsidRPr="001C0C0B">
        <w:fldChar w:fldCharType="end"/>
      </w:r>
      <w:bookmarkEnd w:id="82"/>
      <w:r w:rsidRPr="001C0C0B">
        <w:t>: “That is all that has happened here.</w:t>
      </w:r>
      <w:r w:rsidRPr="001C0C0B">
        <w:br/>
        <w:t>Therefore, the failure to use this grant for 10 years, in the absence of any</w:t>
      </w:r>
      <w:r w:rsidRPr="001C0C0B">
        <w:br/>
        <w:t>claim of abandonment, which would obviously be impossible to suggest in</w:t>
      </w:r>
      <w:r w:rsidRPr="001C0C0B">
        <w:br/>
        <w:t>this case, is irrelevant.”</w:t>
      </w:r>
    </w:p>
    <w:p w:rsidR="001C0C0B" w:rsidRPr="001C0C0B" w:rsidRDefault="001C0C0B" w:rsidP="001C0C0B">
      <w:r w:rsidRPr="001C0C0B">
        <w:t>The question there was whether the grantee could stop on the site of the</w:t>
      </w:r>
      <w:r w:rsidRPr="001C0C0B">
        <w:br/>
        <w:t>way in order to unload his vehicles.</w:t>
      </w:r>
    </w:p>
    <w:p w:rsidR="001C0C0B" w:rsidRPr="001C0C0B" w:rsidRDefault="001C0C0B" w:rsidP="001C0C0B">
      <w:r w:rsidRPr="001C0C0B">
        <w:t>I do not think that either of these cases requires me to hold that</w:t>
      </w:r>
      <w:r w:rsidRPr="001C0C0B">
        <w:br/>
        <w:t>abandonment of one of the rights included in the parcel of rights created</w:t>
      </w:r>
      <w:r w:rsidRPr="001C0C0B">
        <w:br/>
        <w:t>by the grant is not possible. I think it may well be more difficult to</w:t>
      </w:r>
      <w:r w:rsidRPr="001C0C0B">
        <w:br/>
        <w:t>establish such abandonment where there is user of other rights over the</w:t>
      </w:r>
      <w:r w:rsidRPr="001C0C0B">
        <w:br/>
        <w:t>locus, but that is, of course, a different question. There is a decision</w:t>
      </w:r>
      <w:r w:rsidRPr="001C0C0B">
        <w:br/>
        <w:t>directly in point—admittedly given prior to the two decisions I have</w:t>
      </w:r>
      <w:r w:rsidRPr="001C0C0B">
        <w:br/>
        <w:t xml:space="preserve">mentioned—in which </w:t>
      </w:r>
      <w:proofErr w:type="spellStart"/>
      <w:r w:rsidRPr="001C0C0B">
        <w:t>Macfarlan</w:t>
      </w:r>
      <w:proofErr w:type="spellEnd"/>
      <w:r w:rsidRPr="001C0C0B">
        <w:t xml:space="preserve"> J. held that a right of carriageway could</w:t>
      </w:r>
      <w:r w:rsidRPr="001C0C0B">
        <w:br/>
        <w:t>be pruned down to a right of footway by virtue of such acts and omissions</w:t>
      </w:r>
      <w:r w:rsidRPr="001C0C0B">
        <w:br/>
        <w:t>as would at common law be sufficient to infer abandonment: </w:t>
      </w:r>
      <w:r w:rsidRPr="001C0C0B">
        <w:rPr>
          <w:i/>
          <w:iCs/>
        </w:rPr>
        <w:t>Webster v.</w:t>
      </w:r>
      <w:r w:rsidRPr="001C0C0B">
        <w:rPr>
          <w:i/>
          <w:iCs/>
        </w:rPr>
        <w:br/>
      </w:r>
      <w:r w:rsidRPr="001C0C0B">
        <w:rPr>
          <w:i/>
          <w:iCs/>
        </w:rPr>
        <w:lastRenderedPageBreak/>
        <w:t>Strong</w:t>
      </w:r>
      <w:r w:rsidRPr="001C0C0B">
        <w:t> </w:t>
      </w:r>
      <w:bookmarkStart w:id="83" w:name="1979-2-NSWLR-605.fnr_ag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"1979-2-NSWLR-605.fn_ag"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(33)</w:t>
      </w:r>
      <w:r w:rsidRPr="001C0C0B">
        <w:fldChar w:fldCharType="end"/>
      </w:r>
      <w:bookmarkEnd w:id="83"/>
      <w:r w:rsidRPr="001C0C0B">
        <w:t>. The land in that case was under the Torrens System, and the</w:t>
      </w:r>
      <w:r w:rsidRPr="001C0C0B">
        <w:br/>
        <w:t>trial judge stated a case to the Full Court on the question whether the fact</w:t>
      </w:r>
      <w:r w:rsidRPr="001C0C0B">
        <w:br/>
        <w:t>that the grantee's certificate of title stated that he was entitled to a right</w:t>
      </w:r>
      <w:r w:rsidRPr="001C0C0B">
        <w:br/>
        <w:t>of carriageway over the site of the way was conclusive in his favour that</w:t>
      </w:r>
    </w:p>
    <w:p w:rsidR="001C0C0B" w:rsidRPr="001C0C0B" w:rsidRDefault="001C0C0B" w:rsidP="001C0C0B">
      <w:hyperlink r:id="rId6" w:anchor="1979-2-NSWLR-605.fnr_z" w:history="1">
        <w:r w:rsidRPr="001C0C0B">
          <w:rPr>
            <w:rStyle w:val="Hyperlink"/>
          </w:rPr>
          <w:t>(26)</w:t>
        </w:r>
      </w:hyperlink>
      <w:r w:rsidRPr="001C0C0B">
        <w:t> [1930] A.C. 640.</w:t>
      </w:r>
      <w:bookmarkStart w:id="84" w:name="1979-2-NSWLR-605.fn_aa"/>
      <w:bookmarkEnd w:id="8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"1979-2-NSWLR-605.fnr_aa" </w:instrText>
      </w:r>
      <w:r w:rsidRPr="001C0C0B">
        <w:fldChar w:fldCharType="separate"/>
      </w:r>
      <w:r w:rsidRPr="001C0C0B">
        <w:rPr>
          <w:rStyle w:val="Hyperlink"/>
        </w:rPr>
        <w:t>(27)</w:t>
      </w:r>
      <w:r w:rsidRPr="001C0C0B">
        <w:fldChar w:fldCharType="end"/>
      </w:r>
      <w:r w:rsidRPr="001C0C0B">
        <w:t> [1953] 1 W.L.R. 1064; [1953] 2 All E.R. 728.</w:t>
      </w:r>
      <w:bookmarkStart w:id="85" w:name="1979-2-NSWLR-605.fn_ab"/>
      <w:bookmarkEnd w:id="85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"1979-2-NSWLR-605.fnr_ab" </w:instrText>
      </w:r>
      <w:r w:rsidRPr="001C0C0B">
        <w:fldChar w:fldCharType="separate"/>
      </w:r>
      <w:r w:rsidRPr="001C0C0B">
        <w:rPr>
          <w:rStyle w:val="Hyperlink"/>
        </w:rPr>
        <w:t>(28)</w:t>
      </w:r>
      <w:r w:rsidRPr="001C0C0B">
        <w:fldChar w:fldCharType="end"/>
      </w:r>
      <w:r w:rsidRPr="001C0C0B">
        <w:t> [1930] A.C. 640, at p. 657.</w:t>
      </w:r>
      <w:bookmarkStart w:id="86" w:name="1979-2-NSWLR-605.fn_ac"/>
      <w:bookmarkEnd w:id="86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"1979-2-NSWLR-605.fnr_ac" </w:instrText>
      </w:r>
      <w:r w:rsidRPr="001C0C0B">
        <w:fldChar w:fldCharType="separate"/>
      </w:r>
      <w:r w:rsidRPr="001C0C0B">
        <w:rPr>
          <w:rStyle w:val="Hyperlink"/>
        </w:rPr>
        <w:t>(29)</w:t>
      </w:r>
      <w:r w:rsidRPr="001C0C0B">
        <w:fldChar w:fldCharType="end"/>
      </w:r>
      <w:r w:rsidRPr="001C0C0B">
        <w:t> [1953] 1 W.L.R. 1064; [1953] 2 All E.R. 728.</w:t>
      </w:r>
      <w:bookmarkStart w:id="87" w:name="1979-2-NSWLR-605.fn_ad"/>
      <w:bookmarkEnd w:id="87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"1979-2-NSWLR-605.fnr_ad" </w:instrText>
      </w:r>
      <w:r w:rsidRPr="001C0C0B">
        <w:fldChar w:fldCharType="separate"/>
      </w:r>
      <w:r w:rsidRPr="001C0C0B">
        <w:rPr>
          <w:rStyle w:val="Hyperlink"/>
        </w:rPr>
        <w:t>(30)</w:t>
      </w:r>
      <w:r w:rsidRPr="001C0C0B">
        <w:fldChar w:fldCharType="end"/>
      </w:r>
      <w:r w:rsidRPr="001C0C0B">
        <w:t> [1953] 1 W.L.R. 1064, at p. 1068; [1953] 2 All E.R. 728, at p. 731.</w:t>
      </w:r>
      <w:bookmarkStart w:id="88" w:name="1979-2-NSWLR-605.fn_ae"/>
      <w:bookmarkEnd w:id="88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"1979-2-NSWLR-605.fnr_ae" </w:instrText>
      </w:r>
      <w:r w:rsidRPr="001C0C0B">
        <w:fldChar w:fldCharType="separate"/>
      </w:r>
      <w:r w:rsidRPr="001C0C0B">
        <w:rPr>
          <w:rStyle w:val="Hyperlink"/>
        </w:rPr>
        <w:t>(31)</w:t>
      </w:r>
      <w:r w:rsidRPr="001C0C0B">
        <w:fldChar w:fldCharType="end"/>
      </w:r>
      <w:r w:rsidRPr="001C0C0B">
        <w:t> [1930] A.C. 640, at p. 657.</w:t>
      </w:r>
      <w:bookmarkStart w:id="89" w:name="1979-2-NSWLR-605.fn_af"/>
      <w:bookmarkEnd w:id="89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"1979-2-NSWLR-605.fnr_af" </w:instrText>
      </w:r>
      <w:r w:rsidRPr="001C0C0B">
        <w:fldChar w:fldCharType="separate"/>
      </w:r>
      <w:r w:rsidRPr="001C0C0B">
        <w:rPr>
          <w:rStyle w:val="Hyperlink"/>
        </w:rPr>
        <w:t>(32)</w:t>
      </w:r>
      <w:r w:rsidRPr="001C0C0B">
        <w:fldChar w:fldCharType="end"/>
      </w:r>
      <w:r w:rsidRPr="001C0C0B">
        <w:t> [1953] 1 W.L.R. 1064, at p. 1068; [1953] 2 All E.R. 728, at p. 731.</w:t>
      </w:r>
      <w:bookmarkStart w:id="90" w:name="1979-2-NSWLR-605.fn_ag"/>
      <w:bookmarkEnd w:id="90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"1979-2-NSWLR-605.fnr_ag" </w:instrText>
      </w:r>
      <w:r w:rsidRPr="001C0C0B">
        <w:fldChar w:fldCharType="separate"/>
      </w:r>
      <w:r w:rsidRPr="001C0C0B">
        <w:rPr>
          <w:rStyle w:val="Hyperlink"/>
        </w:rPr>
        <w:t>(33)</w:t>
      </w:r>
      <w:r w:rsidRPr="001C0C0B">
        <w:fldChar w:fldCharType="end"/>
      </w:r>
      <w:r w:rsidRPr="001C0C0B">
        <w:t> [1926] V.L.R. 509.</w:t>
      </w:r>
    </w:p>
    <w:p w:rsidR="001C0C0B" w:rsidRPr="001C0C0B" w:rsidRDefault="001C0C0B" w:rsidP="001C0C0B">
      <w:bookmarkStart w:id="91" w:name="PAGE_614"/>
      <w:bookmarkStart w:id="92" w:name="TAADAAH"/>
      <w:bookmarkEnd w:id="91"/>
      <w:bookmarkEnd w:id="92"/>
      <w:r w:rsidRPr="001C0C0B">
        <w:rPr>
          <w:i/>
          <w:iCs/>
        </w:rPr>
        <w:t>[1979] 2 NSWLR 605 at 614</w:t>
      </w:r>
    </w:p>
    <w:p w:rsidR="001C0C0B" w:rsidRPr="001C0C0B" w:rsidRDefault="001C0C0B" w:rsidP="001C0C0B">
      <w:proofErr w:type="gramStart"/>
      <w:r w:rsidRPr="001C0C0B">
        <w:t>he</w:t>
      </w:r>
      <w:proofErr w:type="gramEnd"/>
      <w:r w:rsidRPr="001C0C0B">
        <w:t xml:space="preserve"> was so entitled. The Full Court answered the question in the</w:t>
      </w:r>
      <w:r w:rsidRPr="001C0C0B">
        <w:br/>
        <w:t>affirmative, and their conclusion was followed and applied by Gillard J</w:t>
      </w:r>
      <w:proofErr w:type="gramStart"/>
      <w:r w:rsidRPr="001C0C0B">
        <w:t>.</w:t>
      </w:r>
      <w:proofErr w:type="gramEnd"/>
      <w:r w:rsidRPr="001C0C0B">
        <w:br/>
      </w:r>
      <w:proofErr w:type="spellStart"/>
      <w:r w:rsidRPr="001C0C0B">
        <w:t>in</w:t>
      </w:r>
      <w:r w:rsidRPr="001C0C0B">
        <w:rPr>
          <w:i/>
          <w:iCs/>
        </w:rPr>
        <w:t>Riley</w:t>
      </w:r>
      <w:proofErr w:type="spellEnd"/>
      <w:r w:rsidRPr="001C0C0B">
        <w:rPr>
          <w:i/>
          <w:iCs/>
        </w:rPr>
        <w:t xml:space="preserve"> v. </w:t>
      </w:r>
      <w:proofErr w:type="spellStart"/>
      <w:r w:rsidRPr="001C0C0B">
        <w:rPr>
          <w:i/>
          <w:iCs/>
        </w:rPr>
        <w:t>Penttila</w:t>
      </w:r>
      <w:proofErr w:type="spellEnd"/>
      <w:r w:rsidRPr="001C0C0B">
        <w:t> </w:t>
      </w:r>
      <w:bookmarkStart w:id="93" w:name="1979-2-NSWLR-605.fnr_ah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"1979-2-NSWLR-605.fn_ah"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(34)</w:t>
      </w:r>
      <w:r w:rsidRPr="001C0C0B">
        <w:fldChar w:fldCharType="end"/>
      </w:r>
      <w:bookmarkEnd w:id="93"/>
      <w:r w:rsidRPr="001C0C0B">
        <w:t>. These decisions must, of course, be considered in</w:t>
      </w:r>
      <w:r w:rsidRPr="001C0C0B">
        <w:br/>
        <w:t>the light of the provisions of s. 89 of the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</w:t>
      </w:r>
      <w:r w:rsidRPr="001C0C0B">
        <w:t>, but the</w:t>
      </w:r>
      <w:r w:rsidRPr="001C0C0B">
        <w:br/>
        <w:t xml:space="preserve">conclusion of </w:t>
      </w:r>
      <w:proofErr w:type="spellStart"/>
      <w:r w:rsidRPr="001C0C0B">
        <w:t>Macfarlan</w:t>
      </w:r>
      <w:proofErr w:type="spellEnd"/>
      <w:r w:rsidRPr="001C0C0B">
        <w:t xml:space="preserve"> J. as to implied abandonment of a right to use</w:t>
      </w:r>
      <w:r w:rsidRPr="001C0C0B">
        <w:br/>
        <w:t>vehicles, other than vehicles able to go through a 4-foot gateway, supports</w:t>
      </w:r>
      <w:r w:rsidRPr="001C0C0B">
        <w:br/>
        <w:t>the view I have reached as a matter of principle. I am, therefore, of</w:t>
      </w:r>
      <w:r w:rsidRPr="001C0C0B">
        <w:br/>
        <w:t>opinion that, where the grant of an easement creates a parcel of rights</w:t>
      </w:r>
      <w:proofErr w:type="gramStart"/>
      <w:r w:rsidRPr="001C0C0B">
        <w:t>,</w:t>
      </w:r>
      <w:proofErr w:type="gramEnd"/>
      <w:r w:rsidRPr="001C0C0B">
        <w:br/>
        <w:t>the grantee may, by reason of his appropriate acts or omissions, be held</w:t>
      </w:r>
      <w:r w:rsidRPr="001C0C0B">
        <w:br/>
        <w:t>to have abandoned one or more of such rights.</w:t>
      </w:r>
    </w:p>
    <w:p w:rsidR="001C0C0B" w:rsidRPr="001C0C0B" w:rsidRDefault="001C0C0B" w:rsidP="001C0C0B">
      <w:r w:rsidRPr="001C0C0B">
        <w:t>The next question is whether, in the case of land under the Torrens</w:t>
      </w:r>
      <w:r w:rsidRPr="001C0C0B">
        <w:br/>
        <w:t>System, the appropriate acts or omissions must be or include only those of</w:t>
      </w:r>
      <w:r w:rsidRPr="001C0C0B">
        <w:br/>
        <w:t>the proprietor of the dominant tenement registered as such at the time of</w:t>
      </w:r>
      <w:r w:rsidRPr="001C0C0B">
        <w:br/>
        <w:t>the proceedings. The defendants submit that, title to Torrens land being</w:t>
      </w:r>
      <w:r w:rsidRPr="001C0C0B">
        <w:br/>
        <w:t>created by registration, acts or omissions of predecessors are irrelevant. It</w:t>
      </w:r>
      <w:r w:rsidRPr="001C0C0B">
        <w:br/>
        <w:t>was submitted that s. 89 (1) (b) was a provision distinct from the type of</w:t>
      </w:r>
      <w:r w:rsidRPr="001C0C0B">
        <w:br/>
        <w:t>provisions contained in s. 89 (1) (a) and (c), which were said to create</w:t>
      </w:r>
      <w:r w:rsidRPr="001C0C0B">
        <w:br/>
        <w:t>objective criteria. If the acts or omissions of predecessors are to be</w:t>
      </w:r>
      <w:r w:rsidRPr="001C0C0B">
        <w:br/>
        <w:t>considered, then the defendants submitted that the grantors must show</w:t>
      </w:r>
      <w:r w:rsidRPr="001C0C0B">
        <w:br/>
        <w:t>that all the registered proprietors, or at least all those since the acts or</w:t>
      </w:r>
      <w:r w:rsidRPr="001C0C0B">
        <w:br/>
        <w:t>omissions began, must be included in the persons “for the time being or</w:t>
      </w:r>
      <w:r w:rsidRPr="001C0C0B">
        <w:br/>
        <w:t>from time to time entitled to the easement”. It was submitted that, the</w:t>
      </w:r>
      <w:r w:rsidRPr="001C0C0B">
        <w:br/>
        <w:t>easement remaining noted on the register, no extinguishment can take</w:t>
      </w:r>
      <w:r w:rsidRPr="001C0C0B">
        <w:br/>
        <w:t>place until an order of the Court is made. This is consistent with </w:t>
      </w:r>
      <w:r w:rsidRPr="001C0C0B">
        <w:rPr>
          <w:i/>
          <w:iCs/>
        </w:rPr>
        <w:t>Webster</w:t>
      </w:r>
      <w:r w:rsidRPr="001C0C0B">
        <w:rPr>
          <w:i/>
          <w:iCs/>
        </w:rPr>
        <w:br/>
        <w:t>v. Strong</w:t>
      </w:r>
      <w:r w:rsidRPr="001C0C0B">
        <w:t> </w:t>
      </w:r>
      <w:bookmarkStart w:id="94" w:name="1979-2-NSWLR-605.fnr_ai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"1979-2-NSWLR-605.fn_ai"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(35)</w:t>
      </w:r>
      <w:r w:rsidRPr="001C0C0B">
        <w:fldChar w:fldCharType="end"/>
      </w:r>
      <w:bookmarkEnd w:id="94"/>
      <w:r w:rsidRPr="001C0C0B">
        <w:t> and </w:t>
      </w:r>
      <w:r w:rsidRPr="001C0C0B">
        <w:rPr>
          <w:i/>
          <w:iCs/>
        </w:rPr>
        <w:t xml:space="preserve">Riley v. </w:t>
      </w:r>
      <w:proofErr w:type="spellStart"/>
      <w:r w:rsidRPr="001C0C0B">
        <w:rPr>
          <w:i/>
          <w:iCs/>
        </w:rPr>
        <w:t>Penttila</w:t>
      </w:r>
      <w:proofErr w:type="spellEnd"/>
      <w:r w:rsidRPr="001C0C0B">
        <w:t> </w:t>
      </w:r>
      <w:bookmarkStart w:id="95" w:name="1979-2-NSWLR-605.fnr_aj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"1979-2-NSWLR-605.fn_aj"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(36)</w:t>
      </w:r>
      <w:r w:rsidRPr="001C0C0B">
        <w:fldChar w:fldCharType="end"/>
      </w:r>
      <w:bookmarkEnd w:id="95"/>
      <w:r w:rsidRPr="001C0C0B">
        <w:t>, considered above. It was</w:t>
      </w:r>
      <w:r w:rsidRPr="001C0C0B">
        <w:br/>
        <w:t>submitted that the Registrar-General would not be empowered to cancel</w:t>
      </w:r>
      <w:r w:rsidRPr="001C0C0B">
        <w:br/>
        <w:t>the recording of an easement on the certificate of title under s. 32 (5) of</w:t>
      </w:r>
      <w:r w:rsidRPr="001C0C0B">
        <w:br/>
      </w:r>
      <w:proofErr w:type="spellStart"/>
      <w:r w:rsidRPr="001C0C0B">
        <w:t>the</w:t>
      </w:r>
      <w:r w:rsidRPr="001C0C0B">
        <w:rPr>
          <w:i/>
          <w:iCs/>
        </w:rPr>
        <w:t>Real</w:t>
      </w:r>
      <w:proofErr w:type="spellEnd"/>
      <w:r w:rsidRPr="001C0C0B">
        <w:rPr>
          <w:i/>
          <w:iCs/>
        </w:rPr>
        <w:t xml:space="preserve"> Property Act</w:t>
      </w:r>
      <w:r w:rsidRPr="001C0C0B">
        <w:t>.</w:t>
      </w:r>
    </w:p>
    <w:p w:rsidR="001C0C0B" w:rsidRPr="001C0C0B" w:rsidRDefault="001C0C0B" w:rsidP="001C0C0B">
      <w:r w:rsidRPr="001C0C0B">
        <w:t>It was further submitted that, when a transferee of Torrens land was</w:t>
      </w:r>
      <w:r w:rsidRPr="001C0C0B">
        <w:br/>
        <w:t>registered, his title to the easement noted on the certificate was thereby</w:t>
      </w:r>
      <w:r w:rsidRPr="001C0C0B">
        <w:br/>
      </w:r>
      <w:proofErr w:type="spellStart"/>
      <w:r w:rsidRPr="001C0C0B">
        <w:t>created</w:t>
      </w:r>
      <w:proofErr w:type="gramStart"/>
      <w:r w:rsidRPr="001C0C0B">
        <w:t>:</w:t>
      </w:r>
      <w:r w:rsidRPr="001C0C0B">
        <w:rPr>
          <w:i/>
          <w:iCs/>
        </w:rPr>
        <w:t>Breskvar</w:t>
      </w:r>
      <w:proofErr w:type="spellEnd"/>
      <w:proofErr w:type="gramEnd"/>
      <w:r w:rsidRPr="001C0C0B">
        <w:rPr>
          <w:i/>
          <w:iCs/>
        </w:rPr>
        <w:t xml:space="preserve"> v. Wall</w:t>
      </w:r>
      <w:r w:rsidRPr="001C0C0B">
        <w:t> </w:t>
      </w:r>
      <w:bookmarkStart w:id="96" w:name="1979-2-NSWLR-605.fnr_ak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"1979-2-NSWLR-605.fn_ak"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(37)</w:t>
      </w:r>
      <w:r w:rsidRPr="001C0C0B">
        <w:fldChar w:fldCharType="end"/>
      </w:r>
      <w:bookmarkEnd w:id="96"/>
      <w:r w:rsidRPr="001C0C0B">
        <w:t>. Accordingly, it followed that acts or</w:t>
      </w:r>
      <w:r w:rsidRPr="001C0C0B">
        <w:br/>
        <w:t xml:space="preserve">omissions of predecessors in title could not affect that registered right. </w:t>
      </w:r>
      <w:proofErr w:type="gramStart"/>
      <w:r w:rsidRPr="001C0C0B">
        <w:t>As</w:t>
      </w:r>
      <w:r w:rsidRPr="001C0C0B">
        <w:br/>
      </w:r>
      <w:r w:rsidRPr="001C0C0B">
        <w:lastRenderedPageBreak/>
        <w:t>their Lordships said in </w:t>
      </w:r>
      <w:r w:rsidRPr="001C0C0B">
        <w:rPr>
          <w:i/>
          <w:iCs/>
        </w:rPr>
        <w:t>Frazer v. Walker</w:t>
      </w:r>
      <w:r w:rsidRPr="001C0C0B">
        <w:t> </w:t>
      </w:r>
      <w:bookmarkStart w:id="97" w:name="1979-2-NSWLR-605.fnr_al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"1979-2-NSWLR-605.fn_al"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(38)</w:t>
      </w:r>
      <w:r w:rsidRPr="001C0C0B">
        <w:fldChar w:fldCharType="end"/>
      </w:r>
      <w:bookmarkEnd w:id="97"/>
      <w:r w:rsidRPr="001C0C0B">
        <w:t>: “It is in fact the registration</w:t>
      </w:r>
      <w:r w:rsidRPr="001C0C0B">
        <w:br/>
        <w:t>and not its antecedents which vests and divests title.”</w:t>
      </w:r>
      <w:proofErr w:type="gramEnd"/>
    </w:p>
    <w:p w:rsidR="001C0C0B" w:rsidRPr="001C0C0B" w:rsidRDefault="001C0C0B" w:rsidP="001C0C0B">
      <w:r w:rsidRPr="001C0C0B">
        <w:t>The question of extinguishment upon merger of the dominant and</w:t>
      </w:r>
      <w:r w:rsidRPr="001C0C0B">
        <w:br/>
      </w:r>
      <w:proofErr w:type="spellStart"/>
      <w:r w:rsidRPr="001C0C0B">
        <w:t>servient</w:t>
      </w:r>
      <w:proofErr w:type="spellEnd"/>
      <w:r w:rsidRPr="001C0C0B">
        <w:t xml:space="preserve"> tenements is logically apposite. The defendants submit that</w:t>
      </w:r>
      <w:r w:rsidRPr="001C0C0B">
        <w:br/>
        <w:t>extinguishment on that basis is effective only if the notification is</w:t>
      </w:r>
      <w:r w:rsidRPr="001C0C0B">
        <w:br/>
        <w:t>cancelled during the merged ownership. This submission is certainly</w:t>
      </w:r>
      <w:r w:rsidRPr="001C0C0B">
        <w:br/>
        <w:t xml:space="preserve">supported by the decision of </w:t>
      </w:r>
      <w:proofErr w:type="spellStart"/>
      <w:r w:rsidRPr="001C0C0B">
        <w:t>McLelland</w:t>
      </w:r>
      <w:proofErr w:type="spellEnd"/>
      <w:r w:rsidRPr="001C0C0B">
        <w:t xml:space="preserve"> C.J. in Eq. in </w:t>
      </w:r>
      <w:r w:rsidRPr="001C0C0B">
        <w:rPr>
          <w:i/>
          <w:iCs/>
        </w:rPr>
        <w:t>Re Standard and</w:t>
      </w:r>
      <w:r w:rsidRPr="001C0C0B">
        <w:rPr>
          <w:i/>
          <w:iCs/>
        </w:rPr>
        <w:br/>
        <w:t xml:space="preserve">the 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Act, 1919</w:t>
      </w:r>
      <w:r w:rsidRPr="001C0C0B">
        <w:t> </w:t>
      </w:r>
      <w:bookmarkStart w:id="98" w:name="1979-2-NSWLR-605.fnr_am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"1979-2-NSWLR-605.fn_am"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(39)</w:t>
      </w:r>
      <w:r w:rsidRPr="001C0C0B">
        <w:fldChar w:fldCharType="end"/>
      </w:r>
      <w:bookmarkEnd w:id="98"/>
      <w:r w:rsidRPr="001C0C0B">
        <w:t>.</w:t>
      </w:r>
    </w:p>
    <w:p w:rsidR="001C0C0B" w:rsidRPr="001C0C0B" w:rsidRDefault="001C0C0B" w:rsidP="001C0C0B">
      <w:r w:rsidRPr="001C0C0B">
        <w:t>These submissions raise interesting and important points. It may be</w:t>
      </w:r>
      <w:r w:rsidRPr="001C0C0B">
        <w:br/>
        <w:t>that the High Court will be faced, at some future time, with their</w:t>
      </w:r>
      <w:r w:rsidRPr="001C0C0B">
        <w:br/>
        <w:t>resolution. In the present state of authority, however, I do not believe that</w:t>
      </w:r>
      <w:r w:rsidRPr="001C0C0B">
        <w:br/>
        <w:t>I am at liberty to accept the defendants' submissions.</w:t>
      </w:r>
    </w:p>
    <w:p w:rsidR="001C0C0B" w:rsidRPr="001C0C0B" w:rsidRDefault="001C0C0B" w:rsidP="001C0C0B">
      <w:r w:rsidRPr="001C0C0B">
        <w:t>In </w:t>
      </w:r>
      <w:proofErr w:type="spellStart"/>
      <w:r w:rsidRPr="001C0C0B">
        <w:rPr>
          <w:i/>
          <w:iCs/>
        </w:rPr>
        <w:t>Treweeke</w:t>
      </w:r>
      <w:proofErr w:type="spellEnd"/>
      <w:r w:rsidRPr="001C0C0B">
        <w:rPr>
          <w:i/>
          <w:iCs/>
        </w:rPr>
        <w:t xml:space="preserve"> v. 36 Wolseley Road Pty. Ltd.</w:t>
      </w:r>
      <w:r w:rsidRPr="001C0C0B">
        <w:t> </w:t>
      </w:r>
      <w:bookmarkStart w:id="99" w:name="1979-2-NSWLR-605.fnr_an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"1979-2-NSWLR-605.fn_an"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(40)</w:t>
      </w:r>
      <w:r w:rsidRPr="001C0C0B">
        <w:fldChar w:fldCharType="end"/>
      </w:r>
      <w:bookmarkEnd w:id="99"/>
      <w:r w:rsidRPr="001C0C0B">
        <w:t>, the High Court dealt</w:t>
      </w:r>
      <w:r w:rsidRPr="001C0C0B">
        <w:br/>
        <w:t>with a claim that a right of way noted on the title had been abandoned.</w:t>
      </w:r>
      <w:r w:rsidRPr="001C0C0B">
        <w:br/>
      </w:r>
      <w:proofErr w:type="spellStart"/>
      <w:r w:rsidRPr="001C0C0B">
        <w:t>McTiernan</w:t>
      </w:r>
      <w:proofErr w:type="spellEnd"/>
      <w:r w:rsidRPr="001C0C0B">
        <w:t xml:space="preserve"> J. and Mason J. held that the evidence was not sufficient to</w:t>
      </w:r>
      <w:r w:rsidRPr="001C0C0B">
        <w:br/>
        <w:t>lead to the inference of abandonment. Walsh J. held that it was. There is</w:t>
      </w:r>
      <w:r w:rsidRPr="001C0C0B">
        <w:br/>
        <w:t xml:space="preserve">no suggestion in the judgment of </w:t>
      </w:r>
      <w:proofErr w:type="spellStart"/>
      <w:r w:rsidRPr="001C0C0B">
        <w:t>McTiernan</w:t>
      </w:r>
      <w:proofErr w:type="spellEnd"/>
      <w:r w:rsidRPr="001C0C0B">
        <w:t xml:space="preserve"> J. that different con</w:t>
      </w:r>
      <w:r w:rsidRPr="001C0C0B">
        <w:softHyphen/>
      </w:r>
      <w:r w:rsidRPr="001C0C0B">
        <w:br/>
      </w:r>
      <w:proofErr w:type="spellStart"/>
      <w:r w:rsidRPr="001C0C0B">
        <w:t>siderations</w:t>
      </w:r>
      <w:proofErr w:type="spellEnd"/>
      <w:r w:rsidRPr="001C0C0B">
        <w:t xml:space="preserve"> apply to the solution of such a question where there are</w:t>
      </w:r>
    </w:p>
    <w:bookmarkStart w:id="100" w:name="1979-2-NSWLR-605.fn_ah"/>
    <w:bookmarkEnd w:id="100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"1979-2-NSWLR-605.fnr_ah" </w:instrText>
      </w:r>
      <w:r w:rsidRPr="001C0C0B">
        <w:fldChar w:fldCharType="separate"/>
      </w:r>
      <w:r w:rsidRPr="001C0C0B">
        <w:rPr>
          <w:rStyle w:val="Hyperlink"/>
        </w:rPr>
        <w:t>(34)</w:t>
      </w:r>
      <w:r w:rsidRPr="001C0C0B">
        <w:fldChar w:fldCharType="end"/>
      </w:r>
      <w:r w:rsidRPr="001C0C0B">
        <w:t> [1974] V.R. 547.</w:t>
      </w:r>
      <w:bookmarkStart w:id="101" w:name="1979-2-NSWLR-605.fn_ai"/>
      <w:bookmarkEnd w:id="101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"1979-2-NSWLR-605.fnr_ai" </w:instrText>
      </w:r>
      <w:r w:rsidRPr="001C0C0B">
        <w:fldChar w:fldCharType="separate"/>
      </w:r>
      <w:r w:rsidRPr="001C0C0B">
        <w:rPr>
          <w:rStyle w:val="Hyperlink"/>
        </w:rPr>
        <w:t>(35)</w:t>
      </w:r>
      <w:r w:rsidRPr="001C0C0B">
        <w:fldChar w:fldCharType="end"/>
      </w:r>
      <w:r w:rsidRPr="001C0C0B">
        <w:t> [1926] V.L.R. 509.</w:t>
      </w:r>
      <w:bookmarkStart w:id="102" w:name="1979-2-NSWLR-605.fn_aj"/>
      <w:bookmarkEnd w:id="102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"1979-2-NSWLR-605.fnr_aj" </w:instrText>
      </w:r>
      <w:r w:rsidRPr="001C0C0B">
        <w:fldChar w:fldCharType="separate"/>
      </w:r>
      <w:r w:rsidRPr="001C0C0B">
        <w:rPr>
          <w:rStyle w:val="Hyperlink"/>
        </w:rPr>
        <w:t>(36)</w:t>
      </w:r>
      <w:r w:rsidRPr="001C0C0B">
        <w:fldChar w:fldCharType="end"/>
      </w:r>
      <w:r w:rsidRPr="001C0C0B">
        <w:t> [1974] V.R. 547.</w:t>
      </w:r>
      <w:bookmarkStart w:id="103" w:name="1979-2-NSWLR-605.fn_ak"/>
      <w:bookmarkEnd w:id="103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"1979-2-NSWLR-605.fnr_ak" </w:instrText>
      </w:r>
      <w:r w:rsidRPr="001C0C0B">
        <w:fldChar w:fldCharType="separate"/>
      </w:r>
      <w:r w:rsidRPr="001C0C0B">
        <w:rPr>
          <w:rStyle w:val="Hyperlink"/>
        </w:rPr>
        <w:t>(37)</w:t>
      </w:r>
      <w:r w:rsidRPr="001C0C0B">
        <w:fldChar w:fldCharType="end"/>
      </w:r>
      <w:r w:rsidRPr="001C0C0B">
        <w:t> (1971) 126 C.L.R. 376, at pp. 385, 386.</w:t>
      </w:r>
      <w:bookmarkStart w:id="104" w:name="1979-2-NSWLR-605.fn_al"/>
      <w:bookmarkEnd w:id="10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"1979-2-NSWLR-605.fnr_al" </w:instrText>
      </w:r>
      <w:r w:rsidRPr="001C0C0B">
        <w:fldChar w:fldCharType="separate"/>
      </w:r>
      <w:r w:rsidRPr="001C0C0B">
        <w:rPr>
          <w:rStyle w:val="Hyperlink"/>
        </w:rPr>
        <w:t>(38)</w:t>
      </w:r>
      <w:r w:rsidRPr="001C0C0B">
        <w:fldChar w:fldCharType="end"/>
      </w:r>
      <w:r w:rsidRPr="001C0C0B">
        <w:t> [1967] 1 A.C. 569, at p. 580.</w:t>
      </w:r>
      <w:bookmarkStart w:id="105" w:name="1979-2-NSWLR-605.fn_am"/>
      <w:bookmarkEnd w:id="105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"1979-2-NSWLR-605.fnr_am" </w:instrText>
      </w:r>
      <w:r w:rsidRPr="001C0C0B">
        <w:fldChar w:fldCharType="separate"/>
      </w:r>
      <w:r w:rsidRPr="001C0C0B">
        <w:rPr>
          <w:rStyle w:val="Hyperlink"/>
        </w:rPr>
        <w:t>(39)</w:t>
      </w:r>
      <w:r w:rsidRPr="001C0C0B">
        <w:fldChar w:fldCharType="end"/>
      </w:r>
      <w:r w:rsidRPr="001C0C0B">
        <w:t> (1967) 92 W.N. (N.S.W.) 953.</w:t>
      </w:r>
      <w:bookmarkStart w:id="106" w:name="1979-2-NSWLR-605.fn_an"/>
      <w:bookmarkEnd w:id="106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"1979-2-NSWLR-605.fnr_an" </w:instrText>
      </w:r>
      <w:r w:rsidRPr="001C0C0B">
        <w:fldChar w:fldCharType="separate"/>
      </w:r>
      <w:r w:rsidRPr="001C0C0B">
        <w:rPr>
          <w:rStyle w:val="Hyperlink"/>
        </w:rPr>
        <w:t>(40)</w:t>
      </w:r>
      <w:r w:rsidRPr="001C0C0B">
        <w:fldChar w:fldCharType="end"/>
      </w:r>
      <w:r w:rsidRPr="001C0C0B">
        <w:t> (1973) 128 C.L.R. 274.</w:t>
      </w:r>
    </w:p>
    <w:p w:rsidR="001C0C0B" w:rsidRPr="001C0C0B" w:rsidRDefault="001C0C0B" w:rsidP="001C0C0B">
      <w:bookmarkStart w:id="107" w:name="PAGE_615"/>
      <w:bookmarkStart w:id="108" w:name="TAADAAI"/>
      <w:bookmarkEnd w:id="107"/>
      <w:bookmarkEnd w:id="108"/>
      <w:r w:rsidRPr="001C0C0B">
        <w:rPr>
          <w:i/>
          <w:iCs/>
        </w:rPr>
        <w:t>[1979] 2 NSWLR 605 at 615</w:t>
      </w:r>
    </w:p>
    <w:p w:rsidR="001C0C0B" w:rsidRPr="001C0C0B" w:rsidRDefault="001C0C0B" w:rsidP="001C0C0B">
      <w:proofErr w:type="gramStart"/>
      <w:r w:rsidRPr="001C0C0B">
        <w:t>successive</w:t>
      </w:r>
      <w:proofErr w:type="gramEnd"/>
      <w:r w:rsidRPr="001C0C0B">
        <w:t xml:space="preserve"> registered owners of Torrens land from those applying to the</w:t>
      </w:r>
      <w:r w:rsidRPr="001C0C0B">
        <w:br/>
        <w:t>case of Old System land. His Honour did refer </w:t>
      </w:r>
      <w:bookmarkStart w:id="109" w:name="1979-2-NSWLR-605.fnr_ao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"1979-2-NSWLR-605.fn_ao"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(41)</w:t>
      </w:r>
      <w:r w:rsidRPr="001C0C0B">
        <w:fldChar w:fldCharType="end"/>
      </w:r>
      <w:bookmarkEnd w:id="109"/>
      <w:r w:rsidRPr="001C0C0B">
        <w:t> to the “existing</w:t>
      </w:r>
      <w:r w:rsidRPr="001C0C0B">
        <w:br/>
        <w:t>registered title”, but he relied upon acts of user by predecessors of the</w:t>
      </w:r>
      <w:r w:rsidRPr="001C0C0B">
        <w:br/>
        <w:t>respondent and discussed the significance of acts and omissions of such</w:t>
      </w:r>
      <w:r w:rsidRPr="001C0C0B">
        <w:br/>
        <w:t>predecessors.</w:t>
      </w:r>
    </w:p>
    <w:p w:rsidR="001C0C0B" w:rsidRPr="001C0C0B" w:rsidRDefault="001C0C0B" w:rsidP="001C0C0B">
      <w:r w:rsidRPr="001C0C0B">
        <w:t>Mason J. stated </w:t>
      </w:r>
      <w:bookmarkStart w:id="110" w:name="1979-2-NSWLR-605.fnr_ap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"1979-2-NSWLR-605.fn_ap"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(42)</w:t>
      </w:r>
      <w:r w:rsidRPr="001C0C0B">
        <w:fldChar w:fldCharType="end"/>
      </w:r>
      <w:bookmarkEnd w:id="110"/>
      <w:r w:rsidRPr="001C0C0B">
        <w:t> the problem which is the subject of the</w:t>
      </w:r>
      <w:r w:rsidRPr="001C0C0B">
        <w:br/>
        <w:t>submissions of the defendants in this case. However, his Honour said</w:t>
      </w:r>
      <w:r w:rsidRPr="001C0C0B">
        <w:br/>
      </w:r>
      <w:bookmarkStart w:id="111" w:name="1979-2-NSWLR-605.fnr_aq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"1979-2-NSWLR-605.fn_aq"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(43)</w:t>
      </w:r>
      <w:r w:rsidRPr="001C0C0B">
        <w:fldChar w:fldCharType="end"/>
      </w:r>
      <w:bookmarkEnd w:id="111"/>
      <w:r w:rsidRPr="001C0C0B">
        <w:t>: “It is, I think, unnecessary to resolve these questions in this appeal</w:t>
      </w:r>
      <w:r w:rsidRPr="001C0C0B">
        <w:br/>
        <w:t>because in the circumstances of this case it is for the appellant to show on</w:t>
      </w:r>
      <w:r w:rsidRPr="001C0C0B">
        <w:br/>
        <w:t>any view that the learned judge was incorrect in refusing to draw the</w:t>
      </w:r>
      <w:r w:rsidRPr="001C0C0B">
        <w:br/>
        <w:t>inference that the respondent or its predecessors in title intended to</w:t>
      </w:r>
      <w:r w:rsidRPr="001C0C0B">
        <w:br/>
        <w:t>abandon the easement. If the appellant fails to show that his Honour was</w:t>
      </w:r>
      <w:r w:rsidRPr="001C0C0B">
        <w:br/>
        <w:t>incorrect in this respect, she has no ground for relief under sub-s. (1) or</w:t>
      </w:r>
      <w:r w:rsidRPr="001C0C0B">
        <w:br/>
        <w:t xml:space="preserve">sub-s. (3). </w:t>
      </w:r>
      <w:proofErr w:type="gramStart"/>
      <w:r w:rsidRPr="001C0C0B">
        <w:t>Conversely</w:t>
      </w:r>
      <w:proofErr w:type="gramEnd"/>
      <w:r w:rsidRPr="001C0C0B">
        <w:t>, if she is held to be successful on this issue and it is</w:t>
      </w:r>
      <w:r w:rsidRPr="001C0C0B">
        <w:br/>
        <w:t>held that the respondent or its predecessors intended to abandon the</w:t>
      </w:r>
      <w:r w:rsidRPr="001C0C0B">
        <w:br/>
        <w:t>easement then she is entitled to an order, either under sub-s. (1) or</w:t>
      </w:r>
      <w:r w:rsidRPr="001C0C0B">
        <w:br/>
        <w:t xml:space="preserve">sub-s. (3). </w:t>
      </w:r>
      <w:proofErr w:type="gramStart"/>
      <w:r w:rsidRPr="001C0C0B">
        <w:t>The</w:t>
      </w:r>
      <w:proofErr w:type="gramEnd"/>
      <w:r w:rsidRPr="001C0C0B">
        <w:t xml:space="preserve"> fundamental question for this Court is therefore whether</w:t>
      </w:r>
      <w:r w:rsidRPr="001C0C0B">
        <w:br/>
        <w:t>his Honour was incorrect in declining to draw an inference of abandon</w:t>
      </w:r>
      <w:r w:rsidRPr="001C0C0B">
        <w:softHyphen/>
      </w:r>
      <w:r w:rsidRPr="001C0C0B">
        <w:br/>
      </w:r>
      <w:proofErr w:type="spellStart"/>
      <w:r w:rsidRPr="001C0C0B">
        <w:t>ment</w:t>
      </w:r>
      <w:proofErr w:type="spellEnd"/>
      <w:r w:rsidRPr="001C0C0B">
        <w:t>.”</w:t>
      </w:r>
    </w:p>
    <w:p w:rsidR="001C0C0B" w:rsidRPr="001C0C0B" w:rsidRDefault="001C0C0B" w:rsidP="001C0C0B">
      <w:r w:rsidRPr="001C0C0B">
        <w:lastRenderedPageBreak/>
        <w:t>His Honour then considered, as relevant factors, acts and omissions</w:t>
      </w:r>
      <w:r w:rsidRPr="001C0C0B">
        <w:br/>
        <w:t>both of the respondent and of its predecessors.</w:t>
      </w:r>
    </w:p>
    <w:p w:rsidR="001C0C0B" w:rsidRPr="001C0C0B" w:rsidRDefault="001C0C0B" w:rsidP="001C0C0B">
      <w:r w:rsidRPr="001C0C0B">
        <w:t>Walsh J. who dissented, holding that abandonment had been</w:t>
      </w:r>
      <w:r w:rsidRPr="001C0C0B">
        <w:br/>
        <w:t>established, expressed </w:t>
      </w:r>
      <w:bookmarkStart w:id="112" w:name="1979-2-NSWLR-605.fnr_ar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"1979-2-NSWLR-605.fn_ar"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(44)</w:t>
      </w:r>
      <w:r w:rsidRPr="001C0C0B">
        <w:fldChar w:fldCharType="end"/>
      </w:r>
      <w:bookmarkEnd w:id="112"/>
      <w:r w:rsidRPr="001C0C0B">
        <w:t>: “… some reluctance in accepting and</w:t>
      </w:r>
      <w:r w:rsidRPr="001C0C0B">
        <w:br/>
        <w:t>applying two propositions upon which the appellant must rely in order to</w:t>
      </w:r>
      <w:r w:rsidRPr="001C0C0B">
        <w:br/>
        <w:t>maintain that she was entitled to an order under s. 89 of the </w:t>
      </w:r>
      <w:proofErr w:type="spellStart"/>
      <w:r w:rsidRPr="001C0C0B">
        <w:rPr>
          <w:i/>
          <w:iCs/>
        </w:rPr>
        <w:t>Conveyan</w:t>
      </w:r>
      <w:proofErr w:type="spellEnd"/>
      <w:r w:rsidRPr="001C0C0B">
        <w:rPr>
          <w:i/>
          <w:iCs/>
        </w:rPr>
        <w:softHyphen/>
      </w:r>
      <w:r w:rsidRPr="001C0C0B">
        <w:rPr>
          <w:i/>
          <w:iCs/>
        </w:rPr>
        <w:br/>
      </w:r>
      <w:proofErr w:type="spellStart"/>
      <w:r w:rsidRPr="001C0C0B">
        <w:rPr>
          <w:i/>
          <w:iCs/>
        </w:rPr>
        <w:t>cing</w:t>
      </w:r>
      <w:proofErr w:type="spellEnd"/>
      <w:r w:rsidRPr="001C0C0B">
        <w:rPr>
          <w:i/>
          <w:iCs/>
        </w:rPr>
        <w:t xml:space="preserve"> Act</w:t>
      </w:r>
      <w:r w:rsidRPr="001C0C0B">
        <w:t>, 1919 (N.S.W.), as amended. The first is that an easement</w:t>
      </w:r>
      <w:r w:rsidRPr="001C0C0B">
        <w:br/>
        <w:t>formally created by express grant may be lost by the grantee or his</w:t>
      </w:r>
      <w:r w:rsidRPr="001C0C0B">
        <w:br/>
        <w:t>successors in title, without any express release or surrender and without</w:t>
      </w:r>
      <w:r w:rsidRPr="001C0C0B">
        <w:br/>
        <w:t>any written declaration of an intention to abandon it or to give up the</w:t>
      </w:r>
      <w:r w:rsidRPr="001C0C0B">
        <w:br/>
        <w:t>benefit of it. The second is that, even where the dominant land and the</w:t>
      </w:r>
      <w:r w:rsidRPr="001C0C0B">
        <w:br/>
      </w:r>
      <w:proofErr w:type="spellStart"/>
      <w:r w:rsidRPr="001C0C0B">
        <w:t>servient</w:t>
      </w:r>
      <w:proofErr w:type="spellEnd"/>
      <w:r w:rsidRPr="001C0C0B">
        <w:t xml:space="preserve"> land are registered under the </w:t>
      </w:r>
      <w:r w:rsidRPr="001C0C0B">
        <w:rPr>
          <w:i/>
          <w:iCs/>
        </w:rPr>
        <w:t>Real Property Act</w:t>
      </w:r>
      <w:r w:rsidRPr="001C0C0B">
        <w:t> and notifications</w:t>
      </w:r>
      <w:r w:rsidRPr="001C0C0B">
        <w:br/>
        <w:t>of the existence of the easement appear on the certificates of title relating</w:t>
      </w:r>
      <w:r w:rsidRPr="001C0C0B">
        <w:br/>
        <w:t>to both parcels of land, the easement may become liable to be</w:t>
      </w:r>
      <w:r w:rsidRPr="001C0C0B">
        <w:br/>
        <w:t>extinguished and may cease to be enforceable by the person for the time</w:t>
      </w:r>
      <w:r w:rsidRPr="001C0C0B">
        <w:br/>
        <w:t>being registered as proprietor of the dominant tenement. But the first of</w:t>
      </w:r>
      <w:r w:rsidRPr="001C0C0B">
        <w:br/>
        <w:t>those propositions is firmly established and is not in dispute. The second</w:t>
      </w:r>
      <w:r w:rsidRPr="001C0C0B">
        <w:br/>
        <w:t>of them must be accepted because of the express provision contained in</w:t>
      </w:r>
      <w:r w:rsidRPr="001C0C0B">
        <w:br/>
        <w:t>s. 89 (8) of the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t xml:space="preserve"> Act</w:t>
      </w:r>
      <w:r w:rsidRPr="001C0C0B">
        <w:t>. That sub-section is applicable in the</w:t>
      </w:r>
      <w:r w:rsidRPr="001C0C0B">
        <w:br/>
        <w:t>form in which it stood before the amendment made by the </w:t>
      </w:r>
      <w:proofErr w:type="spellStart"/>
      <w:r w:rsidRPr="001C0C0B">
        <w:rPr>
          <w:i/>
          <w:iCs/>
        </w:rPr>
        <w:t>Conveyancing</w:t>
      </w:r>
      <w:proofErr w:type="spellEnd"/>
      <w:r w:rsidRPr="001C0C0B">
        <w:rPr>
          <w:i/>
          <w:iCs/>
        </w:rPr>
        <w:br/>
        <w:t>(Amendment) Act</w:t>
      </w:r>
      <w:r w:rsidRPr="001C0C0B">
        <w:t>, 1972, but the changes then made are not material for</w:t>
      </w:r>
      <w:r w:rsidRPr="001C0C0B">
        <w:br/>
        <w:t>present purposes. It makes s. 89 applicable to land under the provision of</w:t>
      </w:r>
      <w:r w:rsidRPr="001C0C0B">
        <w:br/>
        <w:t>the </w:t>
      </w:r>
      <w:r w:rsidRPr="001C0C0B">
        <w:rPr>
          <w:i/>
          <w:iCs/>
        </w:rPr>
        <w:t>Real Property Act</w:t>
      </w:r>
      <w:r w:rsidRPr="001C0C0B">
        <w:t> and authority is conferred upon the Registrar-</w:t>
      </w:r>
      <w:r w:rsidRPr="001C0C0B">
        <w:br/>
        <w:t>General to make such amendments and entries in the register book as are</w:t>
      </w:r>
      <w:r w:rsidRPr="001C0C0B">
        <w:br/>
        <w:t>necessary to give effect to an order made thereunder. The provision</w:t>
      </w:r>
      <w:r w:rsidRPr="001C0C0B">
        <w:br/>
        <w:t>clearly contemplates that orders will be made which affect rights which</w:t>
      </w:r>
      <w:r w:rsidRPr="001C0C0B">
        <w:br/>
        <w:t>were vested in the registered proprietor, according to the state of the</w:t>
      </w:r>
      <w:r w:rsidRPr="001C0C0B">
        <w:br/>
        <w:t>register, at and after the time when he acquired his title to the dominant</w:t>
      </w:r>
      <w:r w:rsidRPr="001C0C0B">
        <w:br/>
        <w:t>tenement. It is, of course, the function of the Court to give effect to the</w:t>
      </w:r>
      <w:r w:rsidRPr="001C0C0B">
        <w:br/>
        <w:t>intention which it finds to be expressed in the provision, notwithstanding</w:t>
      </w:r>
      <w:r w:rsidRPr="001C0C0B">
        <w:br/>
        <w:t>that it may operate as a limitation upon the conclusiveness of the</w:t>
      </w:r>
      <w:r w:rsidRPr="001C0C0B">
        <w:br/>
        <w:t>register, which is conferred, as to matters of title, subject to specified</w:t>
      </w:r>
      <w:r w:rsidRPr="001C0C0B">
        <w:br/>
        <w:t>exceptions, by the provisions of the </w:t>
      </w:r>
      <w:r w:rsidRPr="001C0C0B">
        <w:rPr>
          <w:i/>
          <w:iCs/>
        </w:rPr>
        <w:t>Real Property Act</w:t>
      </w:r>
      <w:r w:rsidRPr="001C0C0B">
        <w:t>.”</w:t>
      </w:r>
    </w:p>
    <w:bookmarkStart w:id="113" w:name="1979-2-NSWLR-605.fn_ao"/>
    <w:bookmarkEnd w:id="113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"1979-2-NSWLR-605.fnr_ao" </w:instrText>
      </w:r>
      <w:r w:rsidRPr="001C0C0B">
        <w:fldChar w:fldCharType="separate"/>
      </w:r>
      <w:r w:rsidRPr="001C0C0B">
        <w:rPr>
          <w:rStyle w:val="Hyperlink"/>
        </w:rPr>
        <w:t>(41)</w:t>
      </w:r>
      <w:r w:rsidRPr="001C0C0B">
        <w:fldChar w:fldCharType="end"/>
      </w:r>
      <w:r w:rsidRPr="001C0C0B">
        <w:t> (1973) 128 C.L.R. 274, at p. 282.</w:t>
      </w:r>
      <w:bookmarkStart w:id="114" w:name="1979-2-NSWLR-605.fn_ap"/>
      <w:bookmarkEnd w:id="11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"1979-2-NSWLR-605.fnr_ap" </w:instrText>
      </w:r>
      <w:r w:rsidRPr="001C0C0B">
        <w:fldChar w:fldCharType="separate"/>
      </w:r>
      <w:r w:rsidRPr="001C0C0B">
        <w:rPr>
          <w:rStyle w:val="Hyperlink"/>
        </w:rPr>
        <w:t>(42)</w:t>
      </w:r>
      <w:r w:rsidRPr="001C0C0B">
        <w:fldChar w:fldCharType="end"/>
      </w:r>
      <w:r w:rsidRPr="001C0C0B">
        <w:t> (1973) 128 C.L.R. 274, at p. 301.</w:t>
      </w:r>
      <w:bookmarkStart w:id="115" w:name="1979-2-NSWLR-605.fn_aq"/>
      <w:bookmarkEnd w:id="115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"1979-2-NSWLR-605.fnr_aq" </w:instrText>
      </w:r>
      <w:r w:rsidRPr="001C0C0B">
        <w:fldChar w:fldCharType="separate"/>
      </w:r>
      <w:r w:rsidRPr="001C0C0B">
        <w:rPr>
          <w:rStyle w:val="Hyperlink"/>
        </w:rPr>
        <w:t>(43)</w:t>
      </w:r>
      <w:r w:rsidRPr="001C0C0B">
        <w:fldChar w:fldCharType="end"/>
      </w:r>
      <w:r w:rsidRPr="001C0C0B">
        <w:t> (1973) 128 C.L.R. 274, at p. 302.</w:t>
      </w:r>
      <w:bookmarkStart w:id="116" w:name="1979-2-NSWLR-605.fn_ar"/>
      <w:bookmarkEnd w:id="116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"1979-2-NSWLR-605.fnr_ar" </w:instrText>
      </w:r>
      <w:r w:rsidRPr="001C0C0B">
        <w:fldChar w:fldCharType="separate"/>
      </w:r>
      <w:r w:rsidRPr="001C0C0B">
        <w:rPr>
          <w:rStyle w:val="Hyperlink"/>
        </w:rPr>
        <w:t>(44)</w:t>
      </w:r>
      <w:r w:rsidRPr="001C0C0B">
        <w:fldChar w:fldCharType="end"/>
      </w:r>
      <w:r w:rsidRPr="001C0C0B">
        <w:t> (1973) 128 C.L.R. 274, at pp. 285, 286.</w:t>
      </w:r>
    </w:p>
    <w:p w:rsidR="001C0C0B" w:rsidRPr="001C0C0B" w:rsidRDefault="001C0C0B" w:rsidP="001C0C0B">
      <w:bookmarkStart w:id="117" w:name="PAGE_616"/>
      <w:bookmarkStart w:id="118" w:name="TAADAAJ"/>
      <w:bookmarkEnd w:id="117"/>
      <w:bookmarkEnd w:id="118"/>
      <w:r w:rsidRPr="001C0C0B">
        <w:rPr>
          <w:i/>
          <w:iCs/>
        </w:rPr>
        <w:t>[1979] 2 NSWLR 605 at 616</w:t>
      </w:r>
    </w:p>
    <w:p w:rsidR="001C0C0B" w:rsidRPr="001C0C0B" w:rsidRDefault="001C0C0B" w:rsidP="001C0C0B">
      <w:r w:rsidRPr="001C0C0B">
        <w:t>Walsh J. rejected an argument put by the respondent which was similar</w:t>
      </w:r>
      <w:r w:rsidRPr="001C0C0B">
        <w:br/>
        <w:t>to the argument put here. His Honour said </w:t>
      </w:r>
      <w:bookmarkStart w:id="119" w:name="1979-2-NSWLR-605.fnr_as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"1979-2-NSWLR-605.fn_as"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(45)</w:t>
      </w:r>
      <w:r w:rsidRPr="001C0C0B">
        <w:fldChar w:fldCharType="end"/>
      </w:r>
      <w:bookmarkEnd w:id="119"/>
      <w:r w:rsidRPr="001C0C0B">
        <w:t>: “It has been submitted on</w:t>
      </w:r>
      <w:r w:rsidRPr="001C0C0B">
        <w:br/>
        <w:t>behalf of the respondent that it came late upon the scene and that the</w:t>
      </w:r>
      <w:r w:rsidRPr="001C0C0B">
        <w:br/>
        <w:t>evidence does not support a view that the respondent itself by its own acts</w:t>
      </w:r>
      <w:r w:rsidRPr="001C0C0B">
        <w:br/>
        <w:t>or omissions exhibited any intention to abandon the easement and it has</w:t>
      </w:r>
      <w:r w:rsidRPr="001C0C0B">
        <w:br/>
        <w:t>been put that the requirements of par. (b) of s. 89 (1) are not satisfied,</w:t>
      </w:r>
      <w:r w:rsidRPr="001C0C0B">
        <w:br/>
      </w:r>
      <w:proofErr w:type="spellStart"/>
      <w:r w:rsidRPr="001C0C0B">
        <w:lastRenderedPageBreak/>
        <w:t>unless</w:t>
      </w:r>
      <w:r w:rsidRPr="001C0C0B">
        <w:rPr>
          <w:i/>
          <w:iCs/>
        </w:rPr>
        <w:t>all</w:t>
      </w:r>
      <w:proofErr w:type="spellEnd"/>
      <w:r w:rsidRPr="001C0C0B">
        <w:t> the persons of full age and capacity from time to time entitled</w:t>
      </w:r>
      <w:r w:rsidRPr="001C0C0B">
        <w:br/>
        <w:t>to the easement have shown by their acts or omissions such an intention.</w:t>
      </w:r>
      <w:r w:rsidRPr="001C0C0B">
        <w:br/>
        <w:t>If those arguments were accepted, the appellant would fail, not because</w:t>
      </w:r>
      <w:r w:rsidRPr="001C0C0B">
        <w:br/>
        <w:t>the Court's discretion ought to be exercised in favour of the respondent</w:t>
      </w:r>
      <w:proofErr w:type="gramStart"/>
      <w:r w:rsidRPr="001C0C0B">
        <w:t>,</w:t>
      </w:r>
      <w:proofErr w:type="gramEnd"/>
      <w:r w:rsidRPr="001C0C0B">
        <w:br/>
        <w:t>but because of a lack of proof of the necessary requirements for the</w:t>
      </w:r>
      <w:r w:rsidRPr="001C0C0B">
        <w:br/>
        <w:t>making of an order. However, they should not be accepted. My reason for</w:t>
      </w:r>
      <w:r w:rsidRPr="001C0C0B">
        <w:br/>
        <w:t>not accepting them will appear later in this judgment. But at this point it</w:t>
      </w:r>
      <w:r w:rsidRPr="001C0C0B">
        <w:br/>
        <w:t>is appropriate to say that, in my opinion, the mere circumstance that the</w:t>
      </w:r>
      <w:r w:rsidRPr="001C0C0B">
        <w:br/>
        <w:t>existence of an easement was noted on the register at the time when the</w:t>
      </w:r>
      <w:r w:rsidRPr="001C0C0B">
        <w:br/>
        <w:t>title passed to a new owner would not furnish a reason for refusing, as a</w:t>
      </w:r>
      <w:r w:rsidRPr="001C0C0B">
        <w:br/>
        <w:t>matter of discretion, to make an order under s. 89 (1) or s. 89 (3). If the</w:t>
      </w:r>
      <w:r w:rsidRPr="001C0C0B">
        <w:br/>
        <w:t>new owner could show, also, that he took steps promptly to make use of</w:t>
      </w:r>
      <w:r w:rsidRPr="001C0C0B">
        <w:br/>
        <w:t>the easement, or to claim the right to use it, it may be that the Court could</w:t>
      </w:r>
      <w:r w:rsidRPr="001C0C0B">
        <w:br/>
        <w:t>take that into account, together with any evidence which might be</w:t>
      </w:r>
      <w:r w:rsidRPr="001C0C0B">
        <w:br/>
        <w:t xml:space="preserve">provided as to the conduct and attitude of the owner of the </w:t>
      </w:r>
      <w:proofErr w:type="spellStart"/>
      <w:r w:rsidRPr="001C0C0B">
        <w:t>servient</w:t>
      </w:r>
      <w:proofErr w:type="spellEnd"/>
      <w:r w:rsidRPr="001C0C0B">
        <w:br/>
        <w:t>tenement at the time of the change of ownership of the dominant</w:t>
      </w:r>
      <w:r w:rsidRPr="001C0C0B">
        <w:br/>
        <w:t>tenement, in determining whether or not an order should be made. But</w:t>
      </w:r>
      <w:r w:rsidRPr="001C0C0B">
        <w:br/>
        <w:t>this is a question which does not arise in this case, in which no such</w:t>
      </w:r>
      <w:r w:rsidRPr="001C0C0B">
        <w:br/>
        <w:t>claim was made for several years after the acquisition by the respondent</w:t>
      </w:r>
      <w:r w:rsidRPr="001C0C0B">
        <w:br/>
        <w:t>of its title.”</w:t>
      </w:r>
    </w:p>
    <w:p w:rsidR="001C0C0B" w:rsidRPr="001C0C0B" w:rsidRDefault="001C0C0B" w:rsidP="001C0C0B">
      <w:r w:rsidRPr="001C0C0B">
        <w:t>His Honour's consideration of the question of abandonment, as a</w:t>
      </w:r>
      <w:r w:rsidRPr="001C0C0B">
        <w:br/>
        <w:t>matter of inference from the facts, then ranged over the whole period of</w:t>
      </w:r>
      <w:r w:rsidRPr="001C0C0B">
        <w:br/>
        <w:t>the existence of the right of way, and was not restricted to the period</w:t>
      </w:r>
      <w:r w:rsidRPr="001C0C0B">
        <w:br/>
        <w:t>since the respondent became registered.</w:t>
      </w:r>
    </w:p>
    <w:p w:rsidR="001C0C0B" w:rsidRPr="001C0C0B" w:rsidRDefault="001C0C0B" w:rsidP="001C0C0B">
      <w:r w:rsidRPr="001C0C0B">
        <w:t>In these circumstances, my opinion is that I am bound to hold that, in</w:t>
      </w:r>
      <w:r w:rsidRPr="001C0C0B">
        <w:br/>
      </w:r>
      <w:proofErr w:type="spellStart"/>
      <w:r w:rsidRPr="001C0C0B">
        <w:t>sidering</w:t>
      </w:r>
      <w:proofErr w:type="spellEnd"/>
      <w:r w:rsidRPr="001C0C0B">
        <w:t xml:space="preserve"> whether an easement should be held to have been abandoned</w:t>
      </w:r>
      <w:proofErr w:type="gramStart"/>
      <w:r w:rsidRPr="001C0C0B">
        <w:t>,</w:t>
      </w:r>
      <w:proofErr w:type="gramEnd"/>
      <w:r w:rsidRPr="001C0C0B">
        <w:br/>
        <w:t>where a notification of that easement appears on both certificates of title,</w:t>
      </w:r>
      <w:r w:rsidRPr="001C0C0B">
        <w:br/>
        <w:t>I must have regard to the acts or omissions of registered proprietors who</w:t>
      </w:r>
      <w:r w:rsidRPr="001C0C0B">
        <w:br/>
        <w:t>were predecessors in title of the present registered proprietor. I may be</w:t>
      </w:r>
      <w:r w:rsidRPr="001C0C0B">
        <w:br/>
        <w:t>entitled, as a matter of discretion, to take account of the fact that the first</w:t>
      </w:r>
      <w:r w:rsidRPr="001C0C0B">
        <w:br/>
        <w:t>defendant in this case recently became registered, bought on the faith of</w:t>
      </w:r>
      <w:r w:rsidRPr="001C0C0B">
        <w:br/>
        <w:t>the register and has actively pursued its rights.</w:t>
      </w:r>
    </w:p>
    <w:p w:rsidR="001C0C0B" w:rsidRPr="001C0C0B" w:rsidRDefault="001C0C0B" w:rsidP="001C0C0B">
      <w:r w:rsidRPr="001C0C0B">
        <w:t>I now consider the final point, namely, should the inference be drawn</w:t>
      </w:r>
      <w:r w:rsidRPr="001C0C0B">
        <w:br/>
        <w:t>that the persons for the time being, or from time to time, entitled to the</w:t>
      </w:r>
      <w:r w:rsidRPr="001C0C0B">
        <w:br/>
        <w:t>easement, by their acts or omissions, have abandoned the easement in so</w:t>
      </w:r>
      <w:r w:rsidRPr="001C0C0B">
        <w:br/>
        <w:t xml:space="preserve">far as it conferred upon them rights to pass and </w:t>
      </w:r>
      <w:proofErr w:type="spellStart"/>
      <w:r w:rsidRPr="001C0C0B">
        <w:t>repass</w:t>
      </w:r>
      <w:proofErr w:type="spellEnd"/>
      <w:r w:rsidRPr="001C0C0B">
        <w:t xml:space="preserve"> on the site with</w:t>
      </w:r>
      <w:r w:rsidRPr="001C0C0B">
        <w:br/>
        <w:t>motor vehicles.</w:t>
      </w:r>
    </w:p>
    <w:p w:rsidR="001C0C0B" w:rsidRPr="001C0C0B" w:rsidRDefault="001C0C0B" w:rsidP="001C0C0B">
      <w:r w:rsidRPr="001C0C0B">
        <w:t>The evidence shows that “</w:t>
      </w:r>
      <w:proofErr w:type="spellStart"/>
      <w:r w:rsidRPr="001C0C0B">
        <w:t>Rotherwood</w:t>
      </w:r>
      <w:proofErr w:type="spellEnd"/>
      <w:r w:rsidRPr="001C0C0B">
        <w:t>”, when constructed, was</w:t>
      </w:r>
      <w:r w:rsidRPr="001C0C0B">
        <w:br/>
        <w:t>occupied by tenants. That was also the case as from 1973, and I think the</w:t>
      </w:r>
      <w:r w:rsidRPr="001C0C0B">
        <w:br/>
        <w:t>evidence entitles me to infer that the flats in the building have been let to</w:t>
      </w:r>
      <w:r w:rsidRPr="001C0C0B">
        <w:br/>
        <w:t>tenants ever since the building was constructed. This fact has some</w:t>
      </w:r>
      <w:r w:rsidRPr="001C0C0B">
        <w:br/>
        <w:t>relevance, I think, to the question whether the plaintiffs have shown that</w:t>
      </w:r>
      <w:r w:rsidRPr="001C0C0B">
        <w:br/>
      </w:r>
      <w:r w:rsidRPr="001C0C0B">
        <w:lastRenderedPageBreak/>
        <w:t>the first defendant or its predecessors (as registered proprietors of an</w:t>
      </w:r>
      <w:r w:rsidRPr="001C0C0B">
        <w:br/>
        <w:t>estate in fee simple) abandoned the right of way: see </w:t>
      </w:r>
      <w:proofErr w:type="spellStart"/>
      <w:r w:rsidRPr="001C0C0B">
        <w:rPr>
          <w:i/>
          <w:iCs/>
        </w:rPr>
        <w:t>Treweeke's</w:t>
      </w:r>
      <w:proofErr w:type="spellEnd"/>
      <w:r w:rsidRPr="001C0C0B">
        <w:t> case </w:t>
      </w:r>
      <w:bookmarkStart w:id="120" w:name="1979-2-NSWLR-605.fnr_at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"1979-2-NSWLR-605.fn_at"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(46)</w:t>
      </w:r>
      <w:r w:rsidRPr="001C0C0B">
        <w:fldChar w:fldCharType="end"/>
      </w:r>
      <w:bookmarkEnd w:id="120"/>
      <w:r w:rsidRPr="001C0C0B">
        <w:br/>
        <w:t xml:space="preserve">per </w:t>
      </w:r>
      <w:proofErr w:type="spellStart"/>
      <w:r w:rsidRPr="001C0C0B">
        <w:t>McTiernan</w:t>
      </w:r>
      <w:proofErr w:type="spellEnd"/>
      <w:r w:rsidRPr="001C0C0B">
        <w:t xml:space="preserve"> J., </w:t>
      </w:r>
      <w:r w:rsidRPr="001C0C0B">
        <w:rPr>
          <w:i/>
          <w:iCs/>
        </w:rPr>
        <w:t>Gale on Easements</w:t>
      </w:r>
      <w:r w:rsidRPr="001C0C0B">
        <w:t>, 14th ed., pp. 316-317. There is no</w:t>
      </w:r>
      <w:r w:rsidRPr="001C0C0B">
        <w:br/>
        <w:t>evidence of any specific act of acquiescence by the registered proprietors</w:t>
      </w:r>
      <w:r w:rsidRPr="001C0C0B">
        <w:br/>
        <w:t>for the time being.</w:t>
      </w:r>
    </w:p>
    <w:bookmarkStart w:id="121" w:name="1979-2-NSWLR-605.fn_as"/>
    <w:bookmarkEnd w:id="121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"1979-2-NSWLR-605.fnr_as" </w:instrText>
      </w:r>
      <w:r w:rsidRPr="001C0C0B">
        <w:fldChar w:fldCharType="separate"/>
      </w:r>
      <w:r w:rsidRPr="001C0C0B">
        <w:rPr>
          <w:rStyle w:val="Hyperlink"/>
        </w:rPr>
        <w:t>(45)</w:t>
      </w:r>
      <w:r w:rsidRPr="001C0C0B">
        <w:fldChar w:fldCharType="end"/>
      </w:r>
      <w:r w:rsidRPr="001C0C0B">
        <w:t> (1973) 128 C.L.R. 274, at pp. 286, 287.</w:t>
      </w:r>
      <w:bookmarkStart w:id="122" w:name="1979-2-NSWLR-605.fn_at"/>
      <w:bookmarkEnd w:id="122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"1979-2-NSWLR-605.fnr_at" </w:instrText>
      </w:r>
      <w:r w:rsidRPr="001C0C0B">
        <w:fldChar w:fldCharType="separate"/>
      </w:r>
      <w:r w:rsidRPr="001C0C0B">
        <w:rPr>
          <w:rStyle w:val="Hyperlink"/>
        </w:rPr>
        <w:t>(46)</w:t>
      </w:r>
      <w:r w:rsidRPr="001C0C0B">
        <w:fldChar w:fldCharType="end"/>
      </w:r>
      <w:r w:rsidRPr="001C0C0B">
        <w:t> (1973) 128 C.L.R. 274, at pp. 282, 283.</w:t>
      </w:r>
    </w:p>
    <w:p w:rsidR="001C0C0B" w:rsidRPr="001C0C0B" w:rsidRDefault="001C0C0B" w:rsidP="001C0C0B">
      <w:bookmarkStart w:id="123" w:name="PAGE_617"/>
      <w:bookmarkStart w:id="124" w:name="TAADAAK"/>
      <w:bookmarkEnd w:id="123"/>
      <w:bookmarkEnd w:id="124"/>
      <w:r w:rsidRPr="001C0C0B">
        <w:rPr>
          <w:i/>
          <w:iCs/>
        </w:rPr>
        <w:t>[1979] 2 NSWLR 605 at 617</w:t>
      </w:r>
    </w:p>
    <w:p w:rsidR="001C0C0B" w:rsidRPr="001C0C0B" w:rsidRDefault="001C0C0B" w:rsidP="001C0C0B">
      <w:r w:rsidRPr="001C0C0B">
        <w:t>The plaintiffs submit that, while non-user in itself is not enough to</w:t>
      </w:r>
      <w:r w:rsidRPr="001C0C0B">
        <w:br/>
        <w:t>allow the inference of abandonment, a long period of non-user, coupled</w:t>
      </w:r>
      <w:r w:rsidRPr="001C0C0B">
        <w:br/>
        <w:t>with acquiescence in acts which make the site of the way unusable, will</w:t>
      </w:r>
      <w:r w:rsidRPr="001C0C0B">
        <w:br/>
        <w:t>lead to the inference, unless otherwise satisfactorily explained, that the</w:t>
      </w:r>
      <w:r w:rsidRPr="001C0C0B">
        <w:br/>
        <w:t>right has been abandoned. The plaintiffs rely, principally, upon the act of</w:t>
      </w:r>
      <w:r w:rsidRPr="001C0C0B">
        <w:br/>
        <w:t>the grantees themselves in erecting the garden and fence which made it</w:t>
      </w:r>
      <w:r w:rsidRPr="001C0C0B">
        <w:br/>
        <w:t>impossible, without removing the obstacles, to proceed by vehicle to the</w:t>
      </w:r>
      <w:r w:rsidRPr="001C0C0B">
        <w:br/>
        <w:t>western portion of “</w:t>
      </w:r>
      <w:proofErr w:type="spellStart"/>
      <w:r w:rsidRPr="001C0C0B">
        <w:t>Rotherwood</w:t>
      </w:r>
      <w:proofErr w:type="spellEnd"/>
      <w:r w:rsidRPr="001C0C0B">
        <w:t>”. They also rely upon the electricity</w:t>
      </w:r>
      <w:r w:rsidRPr="001C0C0B">
        <w:br/>
        <w:t>poles, the pipes and the letter boxes and the lack of an entry over the</w:t>
      </w:r>
      <w:r w:rsidRPr="001C0C0B">
        <w:br/>
        <w:t>street kerb.</w:t>
      </w:r>
    </w:p>
    <w:p w:rsidR="001C0C0B" w:rsidRPr="001C0C0B" w:rsidRDefault="001C0C0B" w:rsidP="001C0C0B">
      <w:r w:rsidRPr="001C0C0B">
        <w:t>In </w:t>
      </w:r>
      <w:proofErr w:type="spellStart"/>
      <w:r w:rsidRPr="001C0C0B">
        <w:rPr>
          <w:i/>
          <w:iCs/>
        </w:rPr>
        <w:t>Tehidy</w:t>
      </w:r>
      <w:proofErr w:type="spellEnd"/>
      <w:r w:rsidRPr="001C0C0B">
        <w:rPr>
          <w:i/>
          <w:iCs/>
        </w:rPr>
        <w:t xml:space="preserve"> Minerals Ltd. v. Norman</w:t>
      </w:r>
      <w:r w:rsidRPr="001C0C0B">
        <w:t> </w:t>
      </w:r>
      <w:bookmarkStart w:id="125" w:name="1979-2-NSWLR-605.fnr_au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"1979-2-NSWLR-605.fn_au"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(47)</w:t>
      </w:r>
      <w:r w:rsidRPr="001C0C0B">
        <w:fldChar w:fldCharType="end"/>
      </w:r>
      <w:bookmarkEnd w:id="125"/>
      <w:r w:rsidRPr="001C0C0B">
        <w:t>, the Court of Appeal said:</w:t>
      </w:r>
      <w:r w:rsidRPr="001C0C0B">
        <w:br/>
        <w:t xml:space="preserve">“Abandonment of an easement or of a profit à </w:t>
      </w:r>
      <w:proofErr w:type="spellStart"/>
      <w:r w:rsidRPr="001C0C0B">
        <w:t>prendre</w:t>
      </w:r>
      <w:proofErr w:type="spellEnd"/>
      <w:r w:rsidRPr="001C0C0B">
        <w:t xml:space="preserve"> can only, we think,</w:t>
      </w:r>
      <w:r w:rsidRPr="001C0C0B">
        <w:br/>
        <w:t>be treated as having taken place where the person entitled to it has</w:t>
      </w:r>
      <w:r w:rsidRPr="001C0C0B">
        <w:br/>
        <w:t>demonstrated a fixed intention never at any time thereafter to assert the</w:t>
      </w:r>
      <w:r w:rsidRPr="001C0C0B">
        <w:br/>
        <w:t>right himself or to attempt to transmit it to anyone else.” </w:t>
      </w:r>
      <w:r w:rsidRPr="001C0C0B">
        <w:rPr>
          <w:i/>
          <w:iCs/>
        </w:rPr>
        <w:t>Gale on</w:t>
      </w:r>
      <w:r w:rsidRPr="001C0C0B">
        <w:rPr>
          <w:i/>
          <w:iCs/>
        </w:rPr>
        <w:br/>
        <w:t>Easements</w:t>
      </w:r>
      <w:r w:rsidRPr="001C0C0B">
        <w:t>, 14th ed., p. 337 says that non-user accompanied by the</w:t>
      </w:r>
      <w:r w:rsidRPr="001C0C0B">
        <w:br/>
        <w:t>intention to relinquish the right can be sufficient. It is clear enough that</w:t>
      </w:r>
      <w:r w:rsidRPr="001C0C0B">
        <w:br/>
        <w:t>non-user alone is insufficient: cf. </w:t>
      </w:r>
      <w:r w:rsidRPr="001C0C0B">
        <w:rPr>
          <w:i/>
          <w:iCs/>
        </w:rPr>
        <w:t>Cook v. Bath</w:t>
      </w:r>
      <w:r w:rsidRPr="001C0C0B">
        <w:t> </w:t>
      </w:r>
      <w:bookmarkStart w:id="126" w:name="1979-2-NSWLR-605.fnr_av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"1979-2-NSWLR-605.fn_av"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(48)</w:t>
      </w:r>
      <w:r w:rsidRPr="001C0C0B">
        <w:fldChar w:fldCharType="end"/>
      </w:r>
      <w:bookmarkEnd w:id="126"/>
      <w:r w:rsidRPr="001C0C0B">
        <w:t>; </w:t>
      </w:r>
      <w:r w:rsidRPr="001C0C0B">
        <w:rPr>
          <w:i/>
          <w:iCs/>
        </w:rPr>
        <w:t>Ward v. Ward</w:t>
      </w:r>
      <w:r w:rsidRPr="001C0C0B">
        <w:t> </w:t>
      </w:r>
      <w:bookmarkStart w:id="127" w:name="1979-2-NSWLR-605.fnr_aw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"1979-2-NSWLR-605.fn_aw"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(49)</w:t>
      </w:r>
      <w:r w:rsidRPr="001C0C0B">
        <w:fldChar w:fldCharType="end"/>
      </w:r>
      <w:bookmarkEnd w:id="127"/>
      <w:r w:rsidRPr="001C0C0B">
        <w:t>; </w:t>
      </w:r>
      <w:r w:rsidRPr="001C0C0B">
        <w:rPr>
          <w:i/>
          <w:iCs/>
        </w:rPr>
        <w:t>R.</w:t>
      </w:r>
      <w:r w:rsidRPr="001C0C0B">
        <w:rPr>
          <w:i/>
          <w:iCs/>
        </w:rPr>
        <w:br/>
        <w:t>v. Chorley</w:t>
      </w:r>
      <w:r w:rsidRPr="001C0C0B">
        <w:t> </w:t>
      </w:r>
      <w:bookmarkStart w:id="128" w:name="1979-2-NSWLR-605.fnr_ax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"1979-2-NSWLR-605.fn_ax"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(50)</w:t>
      </w:r>
      <w:r w:rsidRPr="001C0C0B">
        <w:fldChar w:fldCharType="end"/>
      </w:r>
      <w:bookmarkEnd w:id="128"/>
      <w:r w:rsidRPr="001C0C0B">
        <w:t>; </w:t>
      </w:r>
      <w:r w:rsidRPr="001C0C0B">
        <w:rPr>
          <w:i/>
          <w:iCs/>
        </w:rPr>
        <w:t>Swan v. Sinclair</w:t>
      </w:r>
      <w:r w:rsidRPr="001C0C0B">
        <w:t> </w:t>
      </w:r>
      <w:bookmarkStart w:id="129" w:name="1979-2-NSWLR-605.fnr_ay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"1979-2-NSWLR-605.fn_ay"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(51)</w:t>
      </w:r>
      <w:r w:rsidRPr="001C0C0B">
        <w:fldChar w:fldCharType="end"/>
      </w:r>
      <w:bookmarkEnd w:id="129"/>
      <w:r w:rsidRPr="001C0C0B">
        <w:t>, and there are many others. In</w:t>
      </w:r>
      <w:r w:rsidRPr="001C0C0B">
        <w:br/>
      </w:r>
      <w:r w:rsidRPr="001C0C0B">
        <w:rPr>
          <w:i/>
          <w:iCs/>
        </w:rPr>
        <w:t>James v. Stevenson</w:t>
      </w:r>
      <w:r w:rsidRPr="001C0C0B">
        <w:t> </w:t>
      </w:r>
      <w:bookmarkStart w:id="130" w:name="1979-2-NSWLR-605.fnr_z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"1979-2-NSWLR-605.fn_z"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(52)</w:t>
      </w:r>
      <w:r w:rsidRPr="001C0C0B">
        <w:fldChar w:fldCharType="end"/>
      </w:r>
      <w:bookmarkEnd w:id="130"/>
      <w:r w:rsidRPr="001C0C0B">
        <w:t>, it was said that “it is one thing not to assert an</w:t>
      </w:r>
      <w:r w:rsidRPr="001C0C0B">
        <w:br/>
        <w:t>intention to use a way, and another thing to assert an intention to</w:t>
      </w:r>
      <w:r w:rsidRPr="001C0C0B">
        <w:br/>
        <w:t>abandon it.” Abandonment is not to be lightly inferred: </w:t>
      </w:r>
      <w:proofErr w:type="spellStart"/>
      <w:r w:rsidRPr="001C0C0B">
        <w:rPr>
          <w:i/>
          <w:iCs/>
        </w:rPr>
        <w:t>Gotobed</w:t>
      </w:r>
      <w:proofErr w:type="spellEnd"/>
      <w:r w:rsidRPr="001C0C0B">
        <w:rPr>
          <w:i/>
          <w:iCs/>
        </w:rPr>
        <w:t xml:space="preserve"> v</w:t>
      </w:r>
      <w:proofErr w:type="gramStart"/>
      <w:r w:rsidRPr="001C0C0B">
        <w:rPr>
          <w:i/>
          <w:iCs/>
        </w:rPr>
        <w:t>.</w:t>
      </w:r>
      <w:proofErr w:type="gramEnd"/>
      <w:r w:rsidRPr="001C0C0B">
        <w:rPr>
          <w:i/>
          <w:iCs/>
        </w:rPr>
        <w:br/>
      </w:r>
      <w:proofErr w:type="spellStart"/>
      <w:r w:rsidRPr="001C0C0B">
        <w:rPr>
          <w:i/>
          <w:iCs/>
        </w:rPr>
        <w:t>Pridmore</w:t>
      </w:r>
      <w:proofErr w:type="spellEnd"/>
      <w:r w:rsidRPr="001C0C0B">
        <w:t> </w:t>
      </w:r>
      <w:bookmarkStart w:id="131" w:name="1979-2-NSWLR-605.fnr_ba"/>
      <w:r w:rsidRPr="001C0C0B">
        <w:rPr>
          <w:vertAlign w:val="superscript"/>
        </w:rPr>
        <w:fldChar w:fldCharType="begin"/>
      </w:r>
      <w:r w:rsidRPr="001C0C0B">
        <w:rPr>
          <w:vertAlign w:val="superscript"/>
        </w:rPr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"1979-2-NSWLR-605.fn_ba" </w:instrText>
      </w:r>
      <w:r w:rsidRPr="001C0C0B">
        <w:rPr>
          <w:vertAlign w:val="superscript"/>
        </w:rPr>
        <w:fldChar w:fldCharType="separate"/>
      </w:r>
      <w:r w:rsidRPr="001C0C0B">
        <w:rPr>
          <w:rStyle w:val="Hyperlink"/>
          <w:vertAlign w:val="superscript"/>
        </w:rPr>
        <w:t>(53)</w:t>
      </w:r>
      <w:r w:rsidRPr="001C0C0B">
        <w:fldChar w:fldCharType="end"/>
      </w:r>
      <w:bookmarkEnd w:id="131"/>
      <w:r w:rsidRPr="001C0C0B">
        <w:t>.</w:t>
      </w:r>
    </w:p>
    <w:p w:rsidR="001C0C0B" w:rsidRPr="001C0C0B" w:rsidRDefault="001C0C0B" w:rsidP="001C0C0B">
      <w:r w:rsidRPr="001C0C0B">
        <w:t>In the submissions of the plaintiffs, it was emphasized that the main</w:t>
      </w:r>
      <w:r w:rsidRPr="001C0C0B">
        <w:br/>
        <w:t>purpose and usefulness of the way was the right to enter from the road,</w:t>
      </w:r>
      <w:r w:rsidRPr="001C0C0B">
        <w:br/>
        <w:t>proceed down the way and then turn left on to the ground between the</w:t>
      </w:r>
      <w:r w:rsidRPr="001C0C0B">
        <w:br/>
      </w:r>
      <w:proofErr w:type="spellStart"/>
      <w:r w:rsidRPr="001C0C0B">
        <w:t>building“Rotherwood</w:t>
      </w:r>
      <w:proofErr w:type="spellEnd"/>
      <w:r w:rsidRPr="001C0C0B">
        <w:t>” and the western boundary of the land. From the</w:t>
      </w:r>
      <w:r w:rsidRPr="001C0C0B">
        <w:br/>
        <w:t>creation of the garden and the erection of the fence by the grantee it is</w:t>
      </w:r>
      <w:r w:rsidRPr="001C0C0B">
        <w:br/>
        <w:t>said an intention to abandon clearly arises. I do not agree that this is the</w:t>
      </w:r>
      <w:r w:rsidRPr="001C0C0B">
        <w:br/>
        <w:t>prime purpose or usefulness of the way. If it were, it would have been</w:t>
      </w:r>
      <w:r w:rsidRPr="001C0C0B">
        <w:br/>
        <w:t>strange that, almost immediately after the grant, the grantee shut off</w:t>
      </w:r>
      <w:r w:rsidRPr="001C0C0B">
        <w:br/>
        <w:t>that access. I think the proper inference is that the grantee had no</w:t>
      </w:r>
      <w:r w:rsidRPr="001C0C0B">
        <w:br/>
        <w:t>proposal to use that ground for the housing of motor vehicles until recent</w:t>
      </w:r>
      <w:r w:rsidRPr="001C0C0B">
        <w:br/>
        <w:t>times. Recent acts have shown that the garden and fence constituted very</w:t>
      </w:r>
      <w:r w:rsidRPr="001C0C0B">
        <w:br/>
        <w:t>fragile barriers. Even with the existence of those barriers, vehicles could</w:t>
      </w:r>
      <w:r w:rsidRPr="001C0C0B">
        <w:br/>
      </w:r>
      <w:r w:rsidRPr="001C0C0B">
        <w:lastRenderedPageBreak/>
        <w:t>have used (and did use) the way. Admittedly the use was very limited</w:t>
      </w:r>
      <w:r w:rsidRPr="001C0C0B">
        <w:br/>
        <w:t>and, so far as the evidence goes, very recent, but the fact of user indicates</w:t>
      </w:r>
      <w:r w:rsidRPr="001C0C0B">
        <w:br/>
        <w:t>that the contention of the plaintiffs is not sound. In any event, as the</w:t>
      </w:r>
      <w:r w:rsidRPr="001C0C0B">
        <w:br/>
        <w:t>defendants submitted, many private drive-ways contain no area for</w:t>
      </w:r>
      <w:r w:rsidRPr="001C0C0B">
        <w:br/>
        <w:t>turning around, and require owners to back their cars either into or out of</w:t>
      </w:r>
      <w:r w:rsidRPr="001C0C0B">
        <w:br/>
        <w:t>their premises.</w:t>
      </w:r>
    </w:p>
    <w:p w:rsidR="001C0C0B" w:rsidRPr="001C0C0B" w:rsidRDefault="001C0C0B" w:rsidP="001C0C0B">
      <w:r w:rsidRPr="001C0C0B">
        <w:t xml:space="preserve">The other obstructions, as I have already </w:t>
      </w:r>
      <w:proofErr w:type="gramStart"/>
      <w:r w:rsidRPr="001C0C0B">
        <w:t>said,</w:t>
      </w:r>
      <w:proofErr w:type="gramEnd"/>
      <w:r w:rsidRPr="001C0C0B">
        <w:t xml:space="preserve"> did not and do not make</w:t>
      </w:r>
      <w:r w:rsidRPr="001C0C0B">
        <w:br/>
        <w:t>access impossible. No doubt they make access less convenient than it</w:t>
      </w:r>
      <w:r w:rsidRPr="001C0C0B">
        <w:br/>
        <w:t>could have been if there had been a driveway over the footpath and the</w:t>
      </w:r>
      <w:r w:rsidRPr="001C0C0B">
        <w:br/>
        <w:t>poles, pipes and letter boxes had not been there. But two motor vehicles</w:t>
      </w:r>
      <w:r w:rsidRPr="001C0C0B">
        <w:br/>
        <w:t>may pass one another without difficulty, and I do not think that</w:t>
      </w:r>
      <w:r w:rsidRPr="001C0C0B">
        <w:br/>
        <w:t>acquiescence in the siting of these obstructions is sufficient evidence from</w:t>
      </w:r>
      <w:r w:rsidRPr="001C0C0B">
        <w:br/>
        <w:t>which to draw the inference of abandonment. While there is no evidence</w:t>
      </w:r>
      <w:r w:rsidRPr="001C0C0B">
        <w:br/>
        <w:t>to explain the non-user by vehicles, I think the facts leave it open to</w:t>
      </w:r>
      <w:r w:rsidRPr="001C0C0B">
        <w:br/>
        <w:t>inference that the owners of “</w:t>
      </w:r>
      <w:proofErr w:type="spellStart"/>
      <w:r w:rsidRPr="001C0C0B">
        <w:t>Rotherwood</w:t>
      </w:r>
      <w:proofErr w:type="spellEnd"/>
      <w:r w:rsidRPr="001C0C0B">
        <w:t>”, in letting twelve flats in an</w:t>
      </w:r>
    </w:p>
    <w:bookmarkStart w:id="132" w:name="1979-2-NSWLR-605.fn_au"/>
    <w:bookmarkEnd w:id="132"/>
    <w:p w:rsidR="001C0C0B" w:rsidRPr="001C0C0B" w:rsidRDefault="001C0C0B" w:rsidP="001C0C0B"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"1979-2-NSWLR-605.fnr_au" </w:instrText>
      </w:r>
      <w:r w:rsidRPr="001C0C0B">
        <w:fldChar w:fldCharType="separate"/>
      </w:r>
      <w:r w:rsidRPr="001C0C0B">
        <w:rPr>
          <w:rStyle w:val="Hyperlink"/>
        </w:rPr>
        <w:t>(47)</w:t>
      </w:r>
      <w:r w:rsidRPr="001C0C0B">
        <w:fldChar w:fldCharType="end"/>
      </w:r>
      <w:r w:rsidRPr="001C0C0B">
        <w:t> [1971] 2 Q.B. 528, at p. 553.</w:t>
      </w:r>
      <w:bookmarkStart w:id="133" w:name="1979-2-NSWLR-605.fn_av"/>
      <w:bookmarkEnd w:id="133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"1979-2-NSWLR-605.fnr_av" </w:instrText>
      </w:r>
      <w:r w:rsidRPr="001C0C0B">
        <w:fldChar w:fldCharType="separate"/>
      </w:r>
      <w:r w:rsidRPr="001C0C0B">
        <w:rPr>
          <w:rStyle w:val="Hyperlink"/>
        </w:rPr>
        <w:t>(48)</w:t>
      </w:r>
      <w:r w:rsidRPr="001C0C0B">
        <w:fldChar w:fldCharType="end"/>
      </w:r>
      <w:r w:rsidRPr="001C0C0B">
        <w:t> (1868) L.R. 6 Eq. 177.</w:t>
      </w:r>
      <w:bookmarkStart w:id="134" w:name="1979-2-NSWLR-605.fn_aw"/>
      <w:bookmarkEnd w:id="134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"1979-2-NSWLR-605.fnr_aw" </w:instrText>
      </w:r>
      <w:r w:rsidRPr="001C0C0B">
        <w:fldChar w:fldCharType="separate"/>
      </w:r>
      <w:r w:rsidRPr="001C0C0B">
        <w:rPr>
          <w:rStyle w:val="Hyperlink"/>
        </w:rPr>
        <w:t>(49)</w:t>
      </w:r>
      <w:r w:rsidRPr="001C0C0B">
        <w:fldChar w:fldCharType="end"/>
      </w:r>
      <w:r w:rsidRPr="001C0C0B">
        <w:t> (1852) 7 Exch. 838; 155 E.R. 1189.</w:t>
      </w:r>
      <w:bookmarkStart w:id="135" w:name="1979-2-NSWLR-605.fn_ax"/>
      <w:bookmarkEnd w:id="135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"1979-2-NSWLR-605.fnr_ax" </w:instrText>
      </w:r>
      <w:r w:rsidRPr="001C0C0B">
        <w:fldChar w:fldCharType="separate"/>
      </w:r>
      <w:r w:rsidRPr="001C0C0B">
        <w:rPr>
          <w:rStyle w:val="Hyperlink"/>
        </w:rPr>
        <w:t>(50)</w:t>
      </w:r>
      <w:r w:rsidRPr="001C0C0B">
        <w:fldChar w:fldCharType="end"/>
      </w:r>
      <w:r w:rsidRPr="001C0C0B">
        <w:t> (1848) 12 Q.B. 515; 116 E.R. 960.</w:t>
      </w:r>
      <w:bookmarkStart w:id="136" w:name="1979-2-NSWLR-605.fn_ay"/>
      <w:bookmarkEnd w:id="136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"1979-2-NSWLR-605.fnr_ay" </w:instrText>
      </w:r>
      <w:r w:rsidRPr="001C0C0B">
        <w:fldChar w:fldCharType="separate"/>
      </w:r>
      <w:r w:rsidRPr="001C0C0B">
        <w:rPr>
          <w:rStyle w:val="Hyperlink"/>
        </w:rPr>
        <w:t>(51)</w:t>
      </w:r>
      <w:r w:rsidRPr="001C0C0B">
        <w:fldChar w:fldCharType="end"/>
      </w:r>
      <w:r w:rsidRPr="001C0C0B">
        <w:t> [1925] A.C. 227.</w:t>
      </w:r>
      <w:bookmarkStart w:id="137" w:name="1979-2-NSWLR-605.fn_z"/>
      <w:bookmarkEnd w:id="137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"1979-2-NSWLR-605.fnr_z" </w:instrText>
      </w:r>
      <w:r w:rsidRPr="001C0C0B">
        <w:fldChar w:fldCharType="separate"/>
      </w:r>
      <w:r w:rsidRPr="001C0C0B">
        <w:rPr>
          <w:rStyle w:val="Hyperlink"/>
        </w:rPr>
        <w:t>(52)</w:t>
      </w:r>
      <w:r w:rsidRPr="001C0C0B">
        <w:fldChar w:fldCharType="end"/>
      </w:r>
      <w:r w:rsidRPr="001C0C0B">
        <w:t> [1893] A.C. 162, at p. 168.</w:t>
      </w:r>
      <w:bookmarkStart w:id="138" w:name="1979-2-NSWLR-605.fn_ba"/>
      <w:bookmarkEnd w:id="138"/>
      <w:r w:rsidRPr="001C0C0B">
        <w:fldChar w:fldCharType="begin"/>
      </w:r>
      <w:r w:rsidRPr="001C0C0B">
        <w:instrText xml:space="preserve"> HYPERLINK "http://www.lexisnexis.com/au/legal/frame.do?reloadEntirePage=true&amp;rand=1349070466491&amp;returnToKey=20_T15653286344&amp;parent=docview&amp;target=results_DocumentContent&amp;tokenKey=rsh-20.383248.2910736" \l "1979-2-NSWLR-605.fnr_ba" </w:instrText>
      </w:r>
      <w:r w:rsidRPr="001C0C0B">
        <w:fldChar w:fldCharType="separate"/>
      </w:r>
      <w:r w:rsidRPr="001C0C0B">
        <w:rPr>
          <w:rStyle w:val="Hyperlink"/>
        </w:rPr>
        <w:t>(53)</w:t>
      </w:r>
      <w:r w:rsidRPr="001C0C0B">
        <w:fldChar w:fldCharType="end"/>
      </w:r>
      <w:r w:rsidRPr="001C0C0B">
        <w:t> (1970) 115 Sol. Jo. 78.</w:t>
      </w:r>
    </w:p>
    <w:p w:rsidR="001C0C0B" w:rsidRPr="001C0C0B" w:rsidRDefault="001C0C0B" w:rsidP="001C0C0B">
      <w:bookmarkStart w:id="139" w:name="PAGE_618"/>
      <w:bookmarkStart w:id="140" w:name="TAADAAL"/>
      <w:bookmarkEnd w:id="139"/>
      <w:bookmarkEnd w:id="140"/>
      <w:r w:rsidRPr="001C0C0B">
        <w:rPr>
          <w:i/>
          <w:iCs/>
        </w:rPr>
        <w:t>[1979] 2 NSWLR 605 at 618</w:t>
      </w:r>
    </w:p>
    <w:p w:rsidR="001C0C0B" w:rsidRPr="001C0C0B" w:rsidRDefault="001C0C0B" w:rsidP="001C0C0B">
      <w:proofErr w:type="gramStart"/>
      <w:r w:rsidRPr="001C0C0B">
        <w:t>area</w:t>
      </w:r>
      <w:proofErr w:type="gramEnd"/>
      <w:r w:rsidRPr="001C0C0B">
        <w:t xml:space="preserve"> so close to the city and so accessible by public transport, did not see</w:t>
      </w:r>
      <w:r w:rsidRPr="001C0C0B">
        <w:br/>
        <w:t>a need to provide parking space for their tenants. Circumstances have</w:t>
      </w:r>
      <w:r w:rsidRPr="001C0C0B">
        <w:br/>
        <w:t>now altered, because, no doubt, modern strata units are more saleable</w:t>
      </w:r>
      <w:r w:rsidRPr="001C0C0B">
        <w:br/>
        <w:t>with parking spaces than without.</w:t>
      </w:r>
    </w:p>
    <w:p w:rsidR="001C0C0B" w:rsidRPr="001C0C0B" w:rsidRDefault="001C0C0B" w:rsidP="001C0C0B">
      <w:r w:rsidRPr="001C0C0B">
        <w:t>Abandonment is a question of fact, or of inference from proved</w:t>
      </w:r>
      <w:r w:rsidRPr="001C0C0B">
        <w:br/>
        <w:t>circumstances. In reaching a conclusion on the matter, I think one is</w:t>
      </w:r>
      <w:r w:rsidRPr="001C0C0B">
        <w:br/>
        <w:t>entitled to begin by placing a substantial onus on the grantor to show</w:t>
      </w:r>
      <w:r w:rsidRPr="001C0C0B">
        <w:br/>
        <w:t>that the facts lead to the inference. In the present case, I do not think they</w:t>
      </w:r>
      <w:r w:rsidRPr="001C0C0B">
        <w:br/>
        <w:t>do.</w:t>
      </w:r>
    </w:p>
    <w:p w:rsidR="001C0C0B" w:rsidRPr="001C0C0B" w:rsidRDefault="001C0C0B" w:rsidP="001C0C0B">
      <w:r w:rsidRPr="001C0C0B">
        <w:t>During the hearing of this matter, I was referred to a number of cases</w:t>
      </w:r>
      <w:r w:rsidRPr="001C0C0B">
        <w:br/>
        <w:t>not all of which have been mentioned in these reasons. I would merely</w:t>
      </w:r>
      <w:r w:rsidRPr="001C0C0B">
        <w:br/>
        <w:t xml:space="preserve">say that I have read the cases to which I was </w:t>
      </w:r>
      <w:proofErr w:type="gramStart"/>
      <w:r w:rsidRPr="001C0C0B">
        <w:t>referred, and such others as</w:t>
      </w:r>
      <w:r w:rsidRPr="001C0C0B">
        <w:br/>
        <w:t>appeared</w:t>
      </w:r>
      <w:proofErr w:type="gramEnd"/>
      <w:r w:rsidRPr="001C0C0B">
        <w:t xml:space="preserve"> to me to bear on the questions at issue.</w:t>
      </w:r>
    </w:p>
    <w:p w:rsidR="001C0C0B" w:rsidRPr="001C0C0B" w:rsidRDefault="001C0C0B" w:rsidP="001C0C0B">
      <w:r w:rsidRPr="001C0C0B">
        <w:t>In my opinion, the plaintiffs have failed to establish their case, and I</w:t>
      </w:r>
      <w:r w:rsidRPr="001C0C0B">
        <w:br/>
        <w:t>think the summons should be dismissed with costs.</w:t>
      </w:r>
    </w:p>
    <w:p w:rsidR="001C0C0B" w:rsidRPr="001C0C0B" w:rsidRDefault="001C0C0B" w:rsidP="001C0C0B">
      <w:pPr>
        <w:rPr>
          <w:i/>
          <w:iCs/>
        </w:rPr>
      </w:pPr>
      <w:bookmarkStart w:id="141" w:name="TAAE"/>
      <w:bookmarkEnd w:id="141"/>
      <w:r w:rsidRPr="001C0C0B">
        <w:rPr>
          <w:i/>
          <w:iCs/>
        </w:rPr>
        <w:t>Order accordingly.</w:t>
      </w:r>
    </w:p>
    <w:p w:rsidR="001C0C0B" w:rsidRPr="001C0C0B" w:rsidRDefault="001C0C0B" w:rsidP="001C0C0B">
      <w:r w:rsidRPr="001C0C0B">
        <w:t xml:space="preserve">Solicitors for the plaintiffs (owners of the </w:t>
      </w:r>
      <w:proofErr w:type="spellStart"/>
      <w:r w:rsidRPr="001C0C0B">
        <w:t>servient</w:t>
      </w:r>
      <w:proofErr w:type="spellEnd"/>
      <w:r w:rsidRPr="001C0C0B">
        <w:t xml:space="preserve"> tenement): </w:t>
      </w:r>
      <w:r w:rsidRPr="001C0C0B">
        <w:rPr>
          <w:i/>
          <w:iCs/>
        </w:rPr>
        <w:t>Windeyer</w:t>
      </w:r>
      <w:r w:rsidRPr="001C0C0B">
        <w:rPr>
          <w:i/>
          <w:iCs/>
        </w:rPr>
        <w:br/>
        <w:t>Dive&amp; Co.</w:t>
      </w:r>
    </w:p>
    <w:p w:rsidR="001C0C0B" w:rsidRPr="001C0C0B" w:rsidRDefault="001C0C0B" w:rsidP="001C0C0B">
      <w:r w:rsidRPr="001C0C0B">
        <w:lastRenderedPageBreak/>
        <w:t>Solicitors for the defendants (owners of the dominant tenement): </w:t>
      </w:r>
      <w:r w:rsidRPr="001C0C0B">
        <w:rPr>
          <w:i/>
          <w:iCs/>
        </w:rPr>
        <w:t>K. D</w:t>
      </w:r>
      <w:proofErr w:type="gramStart"/>
      <w:r w:rsidRPr="001C0C0B">
        <w:rPr>
          <w:i/>
          <w:iCs/>
        </w:rPr>
        <w:t>.</w:t>
      </w:r>
      <w:proofErr w:type="gramEnd"/>
      <w:r w:rsidRPr="001C0C0B">
        <w:rPr>
          <w:i/>
          <w:iCs/>
        </w:rPr>
        <w:br/>
      </w:r>
      <w:proofErr w:type="spellStart"/>
      <w:r w:rsidRPr="001C0C0B">
        <w:rPr>
          <w:i/>
          <w:iCs/>
        </w:rPr>
        <w:t>Manion</w:t>
      </w:r>
      <w:proofErr w:type="spellEnd"/>
      <w:r w:rsidRPr="001C0C0B">
        <w:rPr>
          <w:i/>
          <w:iCs/>
        </w:rPr>
        <w:t xml:space="preserve"> </w:t>
      </w:r>
      <w:proofErr w:type="spellStart"/>
      <w:r w:rsidRPr="001C0C0B">
        <w:rPr>
          <w:i/>
          <w:iCs/>
        </w:rPr>
        <w:t>McCosker</w:t>
      </w:r>
      <w:proofErr w:type="spellEnd"/>
      <w:r w:rsidRPr="001C0C0B">
        <w:rPr>
          <w:i/>
          <w:iCs/>
        </w:rPr>
        <w:t xml:space="preserve"> &amp; Co.</w:t>
      </w:r>
    </w:p>
    <w:p w:rsidR="00681380" w:rsidRDefault="00681380">
      <w:bookmarkStart w:id="142" w:name="_GoBack"/>
      <w:bookmarkEnd w:id="142"/>
    </w:p>
    <w:sectPr w:rsidR="006813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C0B"/>
    <w:rsid w:val="001C0C0B"/>
    <w:rsid w:val="00681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mes">
    <w:name w:val="times"/>
    <w:basedOn w:val="DefaultParagraphFont"/>
    <w:rsid w:val="001C0C0B"/>
  </w:style>
  <w:style w:type="character" w:customStyle="1" w:styleId="ssl2">
    <w:name w:val="ss_l2"/>
    <w:basedOn w:val="DefaultParagraphFont"/>
    <w:rsid w:val="001C0C0B"/>
  </w:style>
  <w:style w:type="character" w:customStyle="1" w:styleId="bold">
    <w:name w:val="bold"/>
    <w:basedOn w:val="DefaultParagraphFont"/>
    <w:rsid w:val="001C0C0B"/>
  </w:style>
  <w:style w:type="character" w:customStyle="1" w:styleId="ssl0">
    <w:name w:val="ss_l0"/>
    <w:basedOn w:val="DefaultParagraphFont"/>
    <w:rsid w:val="001C0C0B"/>
  </w:style>
  <w:style w:type="character" w:customStyle="1" w:styleId="smcaps">
    <w:name w:val="smcaps"/>
    <w:basedOn w:val="DefaultParagraphFont"/>
    <w:rsid w:val="001C0C0B"/>
  </w:style>
  <w:style w:type="character" w:customStyle="1" w:styleId="apple-converted-space">
    <w:name w:val="apple-converted-space"/>
    <w:basedOn w:val="DefaultParagraphFont"/>
    <w:rsid w:val="001C0C0B"/>
  </w:style>
  <w:style w:type="character" w:customStyle="1" w:styleId="hit">
    <w:name w:val="hit"/>
    <w:basedOn w:val="DefaultParagraphFont"/>
    <w:rsid w:val="001C0C0B"/>
  </w:style>
  <w:style w:type="character" w:customStyle="1" w:styleId="italic">
    <w:name w:val="italic"/>
    <w:basedOn w:val="DefaultParagraphFont"/>
    <w:rsid w:val="001C0C0B"/>
  </w:style>
  <w:style w:type="paragraph" w:customStyle="1" w:styleId="loose">
    <w:name w:val="loose"/>
    <w:basedOn w:val="Normal"/>
    <w:rsid w:val="001C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lightgrey">
    <w:name w:val="lightgrey"/>
    <w:basedOn w:val="DefaultParagraphFont"/>
    <w:rsid w:val="001C0C0B"/>
  </w:style>
  <w:style w:type="paragraph" w:styleId="NormalWeb">
    <w:name w:val="Normal (Web)"/>
    <w:basedOn w:val="Normal"/>
    <w:uiPriority w:val="99"/>
    <w:semiHidden/>
    <w:unhideWhenUsed/>
    <w:rsid w:val="001C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loose1">
    <w:name w:val="loose1"/>
    <w:basedOn w:val="DefaultParagraphFont"/>
    <w:rsid w:val="001C0C0B"/>
  </w:style>
  <w:style w:type="character" w:styleId="Hyperlink">
    <w:name w:val="Hyperlink"/>
    <w:basedOn w:val="DefaultParagraphFont"/>
    <w:uiPriority w:val="99"/>
    <w:unhideWhenUsed/>
    <w:rsid w:val="001C0C0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0C0B"/>
    <w:rPr>
      <w:color w:val="800080"/>
      <w:u w:val="single"/>
    </w:rPr>
  </w:style>
  <w:style w:type="character" w:customStyle="1" w:styleId="ssl4">
    <w:name w:val="ss_l4"/>
    <w:basedOn w:val="DefaultParagraphFont"/>
    <w:rsid w:val="001C0C0B"/>
  </w:style>
  <w:style w:type="character" w:customStyle="1" w:styleId="blue">
    <w:name w:val="blue"/>
    <w:basedOn w:val="DefaultParagraphFont"/>
    <w:rsid w:val="001C0C0B"/>
  </w:style>
  <w:style w:type="character" w:customStyle="1" w:styleId="ssl3">
    <w:name w:val="ss_l3"/>
    <w:basedOn w:val="DefaultParagraphFont"/>
    <w:rsid w:val="001C0C0B"/>
  </w:style>
  <w:style w:type="character" w:customStyle="1" w:styleId="tightinline">
    <w:name w:val="tightinline"/>
    <w:basedOn w:val="DefaultParagraphFont"/>
    <w:rsid w:val="001C0C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mes">
    <w:name w:val="times"/>
    <w:basedOn w:val="DefaultParagraphFont"/>
    <w:rsid w:val="001C0C0B"/>
  </w:style>
  <w:style w:type="character" w:customStyle="1" w:styleId="ssl2">
    <w:name w:val="ss_l2"/>
    <w:basedOn w:val="DefaultParagraphFont"/>
    <w:rsid w:val="001C0C0B"/>
  </w:style>
  <w:style w:type="character" w:customStyle="1" w:styleId="bold">
    <w:name w:val="bold"/>
    <w:basedOn w:val="DefaultParagraphFont"/>
    <w:rsid w:val="001C0C0B"/>
  </w:style>
  <w:style w:type="character" w:customStyle="1" w:styleId="ssl0">
    <w:name w:val="ss_l0"/>
    <w:basedOn w:val="DefaultParagraphFont"/>
    <w:rsid w:val="001C0C0B"/>
  </w:style>
  <w:style w:type="character" w:customStyle="1" w:styleId="smcaps">
    <w:name w:val="smcaps"/>
    <w:basedOn w:val="DefaultParagraphFont"/>
    <w:rsid w:val="001C0C0B"/>
  </w:style>
  <w:style w:type="character" w:customStyle="1" w:styleId="apple-converted-space">
    <w:name w:val="apple-converted-space"/>
    <w:basedOn w:val="DefaultParagraphFont"/>
    <w:rsid w:val="001C0C0B"/>
  </w:style>
  <w:style w:type="character" w:customStyle="1" w:styleId="hit">
    <w:name w:val="hit"/>
    <w:basedOn w:val="DefaultParagraphFont"/>
    <w:rsid w:val="001C0C0B"/>
  </w:style>
  <w:style w:type="character" w:customStyle="1" w:styleId="italic">
    <w:name w:val="italic"/>
    <w:basedOn w:val="DefaultParagraphFont"/>
    <w:rsid w:val="001C0C0B"/>
  </w:style>
  <w:style w:type="paragraph" w:customStyle="1" w:styleId="loose">
    <w:name w:val="loose"/>
    <w:basedOn w:val="Normal"/>
    <w:rsid w:val="001C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lightgrey">
    <w:name w:val="lightgrey"/>
    <w:basedOn w:val="DefaultParagraphFont"/>
    <w:rsid w:val="001C0C0B"/>
  </w:style>
  <w:style w:type="paragraph" w:styleId="NormalWeb">
    <w:name w:val="Normal (Web)"/>
    <w:basedOn w:val="Normal"/>
    <w:uiPriority w:val="99"/>
    <w:semiHidden/>
    <w:unhideWhenUsed/>
    <w:rsid w:val="001C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loose1">
    <w:name w:val="loose1"/>
    <w:basedOn w:val="DefaultParagraphFont"/>
    <w:rsid w:val="001C0C0B"/>
  </w:style>
  <w:style w:type="character" w:styleId="Hyperlink">
    <w:name w:val="Hyperlink"/>
    <w:basedOn w:val="DefaultParagraphFont"/>
    <w:uiPriority w:val="99"/>
    <w:unhideWhenUsed/>
    <w:rsid w:val="001C0C0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0C0B"/>
    <w:rPr>
      <w:color w:val="800080"/>
      <w:u w:val="single"/>
    </w:rPr>
  </w:style>
  <w:style w:type="character" w:customStyle="1" w:styleId="ssl4">
    <w:name w:val="ss_l4"/>
    <w:basedOn w:val="DefaultParagraphFont"/>
    <w:rsid w:val="001C0C0B"/>
  </w:style>
  <w:style w:type="character" w:customStyle="1" w:styleId="blue">
    <w:name w:val="blue"/>
    <w:basedOn w:val="DefaultParagraphFont"/>
    <w:rsid w:val="001C0C0B"/>
  </w:style>
  <w:style w:type="character" w:customStyle="1" w:styleId="ssl3">
    <w:name w:val="ss_l3"/>
    <w:basedOn w:val="DefaultParagraphFont"/>
    <w:rsid w:val="001C0C0B"/>
  </w:style>
  <w:style w:type="character" w:customStyle="1" w:styleId="tightinline">
    <w:name w:val="tightinline"/>
    <w:basedOn w:val="DefaultParagraphFont"/>
    <w:rsid w:val="001C0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6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494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1876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47496">
                  <w:marLeft w:val="0"/>
                  <w:marRight w:val="0"/>
                  <w:marTop w:val="0"/>
                  <w:marBottom w:val="3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24649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976561">
                  <w:marLeft w:val="0"/>
                  <w:marRight w:val="0"/>
                  <w:marTop w:val="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994473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28884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239743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60651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0221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1385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63460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8248">
                  <w:marLeft w:val="0"/>
                  <w:marRight w:val="0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287468">
                      <w:marLeft w:val="0"/>
                      <w:marRight w:val="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57127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4701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77676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78093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18933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587693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887444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46380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54892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562016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312843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02028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386826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156739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726341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83737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406523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206345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633511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7016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548151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6334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673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854530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485620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16672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885666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24862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92036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1428749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026063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814673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8431846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7218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45089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8157769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27106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9095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790037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722978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128270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1618761">
                  <w:marLeft w:val="0"/>
                  <w:marRight w:val="0"/>
                  <w:marTop w:val="105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06202">
                      <w:marLeft w:val="0"/>
                      <w:marRight w:val="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762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81368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4822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4975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1884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0720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368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963599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458423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560991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103935">
                          <w:marLeft w:val="0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7995570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659641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349136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62889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044221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202879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06987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954137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3049790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335583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075331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534221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2264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257688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81419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7385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239866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134771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9066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044360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751276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2613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9829214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1147372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82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97828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117850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241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948841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84079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4244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8631122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873828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1711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020506">
                                  <w:marLeft w:val="0"/>
                                  <w:marRight w:val="0"/>
                                  <w:marTop w:val="105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611078">
                                      <w:marLeft w:val="0"/>
                                      <w:marRight w:val="10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04720195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2457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051585">
                          <w:marLeft w:val="0"/>
                          <w:marRight w:val="10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983275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144735">
                      <w:marLeft w:val="0"/>
                      <w:marRight w:val="0"/>
                      <w:marTop w:val="0"/>
                      <w:marBottom w:val="1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836350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lexisnexis.com/au/legal/frame.do?reloadEntirePage=true&amp;rand=1349070466491&amp;returnToKey=20_T15653286344&amp;parent=docview&amp;target=results_DocumentContent&amp;tokenKey=rsh-20.383248.2910736" TargetMode="External"/><Relationship Id="rId5" Type="http://schemas.openxmlformats.org/officeDocument/2006/relationships/hyperlink" Target="http://www.lexisnexis.com/au/legal/frame.do?reloadEntirePage=true&amp;rand=1349070466491&amp;returnToKey=20_T15653286344&amp;parent=docview&amp;target=results_DocumentContent&amp;tokenKey=rsh-20.383248.291073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10989</Words>
  <Characters>62643</Characters>
  <Application>Microsoft Office Word</Application>
  <DocSecurity>0</DocSecurity>
  <Lines>522</Lines>
  <Paragraphs>146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1</cp:revision>
  <dcterms:created xsi:type="dcterms:W3CDTF">2012-10-01T05:48:00Z</dcterms:created>
  <dcterms:modified xsi:type="dcterms:W3CDTF">2012-10-01T05:49:00Z</dcterms:modified>
</cp:coreProperties>
</file>