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2911E8" w:rsidRPr="002911E8" w:rsidTr="002911E8">
        <w:trPr>
          <w:tblCellSpacing w:w="0" w:type="dxa"/>
        </w:trPr>
        <w:tc>
          <w:tcPr>
            <w:tcW w:w="0" w:type="auto"/>
            <w:shd w:val="clear" w:color="auto" w:fill="FFFFFF"/>
            <w:vAlign w:val="center"/>
            <w:hideMark/>
          </w:tcPr>
          <w:p w:rsidR="002911E8" w:rsidRPr="002911E8" w:rsidRDefault="002911E8" w:rsidP="002911E8">
            <w:r w:rsidRPr="002911E8">
              <w:t>28 pages</w:t>
            </w:r>
          </w:p>
          <w:p w:rsidR="002911E8" w:rsidRPr="002911E8" w:rsidRDefault="002911E8" w:rsidP="002911E8">
            <w:r w:rsidRPr="002911E8">
              <w:rPr>
                <w:b/>
                <w:bCs/>
              </w:rPr>
              <w:t>RILEY v PENTTILA - [</w:t>
            </w:r>
            <w:bookmarkStart w:id="0" w:name="HIT_1"/>
            <w:bookmarkStart w:id="1" w:name="ORIGHIT_1"/>
            <w:bookmarkEnd w:id="0"/>
            <w:bookmarkEnd w:id="1"/>
            <w:r w:rsidRPr="002911E8">
              <w:rPr>
                <w:b/>
                <w:bCs/>
              </w:rPr>
              <w:t>1974] VR 547</w:t>
            </w:r>
          </w:p>
          <w:p w:rsidR="002911E8" w:rsidRPr="002911E8" w:rsidRDefault="002911E8" w:rsidP="002911E8">
            <w:r w:rsidRPr="002911E8">
              <w:t>SUPREME COURT OF VICTORIA</w:t>
            </w:r>
          </w:p>
          <w:p w:rsidR="002911E8" w:rsidRPr="002911E8" w:rsidRDefault="002911E8" w:rsidP="002911E8">
            <w:r w:rsidRPr="002911E8">
              <w:t>GILLARD, J</w:t>
            </w:r>
          </w:p>
          <w:p w:rsidR="002911E8" w:rsidRPr="002911E8" w:rsidRDefault="002911E8" w:rsidP="002911E8">
            <w:r w:rsidRPr="002911E8">
              <w:t>22, 25, 26 February, 13, 20 March 1974</w:t>
            </w:r>
          </w:p>
          <w:p w:rsidR="002911E8" w:rsidRPr="002911E8" w:rsidRDefault="002911E8" w:rsidP="002911E8">
            <w:pPr>
              <w:rPr>
                <w:b/>
                <w:bCs/>
              </w:rPr>
            </w:pPr>
            <w:r w:rsidRPr="002911E8">
              <w:rPr>
                <w:b/>
                <w:bCs/>
              </w:rPr>
              <w:t>Easement — Reserve marked on plan of subdivision — Liberty granted to transferees of lots to use and enjoy the reserve "for the purposes of recreation or a garden or a park" — Characteristics of easements discussed.</w:t>
            </w:r>
          </w:p>
          <w:p w:rsidR="002911E8" w:rsidRPr="002911E8" w:rsidRDefault="002911E8" w:rsidP="002911E8">
            <w:pPr>
              <w:rPr>
                <w:b/>
                <w:bCs/>
              </w:rPr>
            </w:pPr>
            <w:r w:rsidRPr="002911E8">
              <w:rPr>
                <w:b/>
                <w:bCs/>
              </w:rPr>
              <w:t>Easement — Adverse possession — Grant of right to use reserve "for the purposes of recreation or a garden or a park" — Portion of reserve fenced off for about 40 years — Used as a tennis court then as a garden — Equivocal acts — Consistent with terms of grant — Not adverse to owner.</w:t>
            </w:r>
          </w:p>
          <w:p w:rsidR="002911E8" w:rsidRPr="002911E8" w:rsidRDefault="002911E8" w:rsidP="002911E8">
            <w:pPr>
              <w:rPr>
                <w:b/>
                <w:bCs/>
              </w:rPr>
            </w:pPr>
            <w:r w:rsidRPr="002911E8">
              <w:rPr>
                <w:b/>
                <w:bCs/>
              </w:rPr>
              <w:t>Easement — Abandonment — Grant of right to use reserve "for the purposes of recreation or a garden or a park" — Portion of reserve fenced off by one grantee as a tennis court then as a garden — Area not used by other grantees — Long non-user not conclusive — No intention to abandon right.</w:t>
            </w:r>
          </w:p>
          <w:p w:rsidR="002911E8" w:rsidRPr="002911E8" w:rsidRDefault="002911E8" w:rsidP="002911E8">
            <w:pPr>
              <w:rPr>
                <w:b/>
                <w:bCs/>
              </w:rPr>
            </w:pPr>
            <w:r w:rsidRPr="002911E8">
              <w:rPr>
                <w:b/>
                <w:bCs/>
              </w:rPr>
              <w:t>Transfer of Land Act — Easement — Appearing on certificate of title of dominant tenement — Alleged abandonment — Conclusiveness of certificate of title — Transfer of Land Act 1958 (No. 6399), s40, s41, s72 and s73.</w:t>
            </w:r>
          </w:p>
          <w:p w:rsidR="002911E8" w:rsidRPr="002911E8" w:rsidRDefault="002911E8" w:rsidP="002911E8">
            <w:r w:rsidRPr="002911E8">
              <w:t>A plan of subdivision was prepared on which a number of lots backed onto and surrounded a common area described as "Outlook Park Reserve". The subdivider who remained the registered proprietor of the reserve granted expressly to each transferee of the lots transferred by him a right in the following form:- "together with liberty for the said transferee, his heirs, executors, administrators and transferees, registered proprietor or proprietors for the time being of the said lot...and his and their tenants for the time being thereof at his and their own sole risk at all times hereafter to use and enjoy (in common with the registered proprietor or proprietors for the time being of all or any other of lots 27 to 41 both inclusive on the said plan of subdivision) the land shown as Outlook Park Reserve on the said plan and thereon coloured green and blue for the purposes of recreation or a garden or a park but subject to such rules and regulations respecting the user and enjoyment for the purposes aforesaid of the said Outlook Park Reserve as shall from time to time be made by me my heirs executors administrators until I or they shall have transferred or caused to be transferred all of such last-mentioned lots and thereafter by the majority in number of the registered proprietors for the time being of such last-mentioned lots".</w:t>
            </w:r>
          </w:p>
          <w:p w:rsidR="002911E8" w:rsidRPr="002911E8" w:rsidRDefault="002911E8" w:rsidP="002911E8">
            <w:r w:rsidRPr="002911E8">
              <w:t xml:space="preserve">All the lots were transferred by the subdivider by 1928. In 1967 the defendants purchased lot 36 on the plan of subdivision. A portion of the reserve adjoining lots 35 and 36 had been, for over 40 years, partially fenced off from the rest of the reserve; this area had originally been used as a tennis court but for many years had been used as a garden with trees, shrubs, decorative stonework and a water reticulation and sprinkler system. On this area there were also equipment for a children's playground, two lamp posts and two clothes hoists. In 1971 the defendants commenced an </w:t>
            </w:r>
            <w:r w:rsidRPr="002911E8">
              <w:lastRenderedPageBreak/>
              <w:t>excavation for a swimming pool in this area.</w:t>
            </w:r>
          </w:p>
          <w:p w:rsidR="002911E8" w:rsidRPr="002911E8" w:rsidRDefault="002911E8" w:rsidP="002911E8">
            <w:r w:rsidRPr="002911E8">
              <w:t>The plaintiffs who are the registered proprietors of the several lots of the subdivision abutting onto the reserve commenced the present action seeking a declaration as to their rights over the portion of the reserve in dispute and appropriate injunctions to protect such rights. The defendants claimed that, by reason of adverse possession, they were entitled to be registered as proprietors of the disputed area. Alternatively, they claimed that the plaintiffs had no rights in relation to the disputed land because (a) the right granted did not constitute an easement; or (b) if it were an easement, the plaintiffs had abandoned this right through long non-user.</w:t>
            </w:r>
          </w:p>
          <w:p w:rsidR="002911E8" w:rsidRPr="002911E8" w:rsidRDefault="002911E8" w:rsidP="002911E8">
            <w:r w:rsidRPr="002911E8">
              <w:rPr>
                <w:b/>
                <w:bCs/>
              </w:rPr>
              <w:t>Held</w:t>
            </w:r>
            <w:r w:rsidRPr="002911E8">
              <w:t>: (1) the grant constituted a right in the nature of an easement appurtenant to and for the enjoyment of the lots transferred. Characteristics of an easement discussed.</w:t>
            </w:r>
          </w:p>
          <w:p w:rsidR="002911E8" w:rsidRPr="002911E8" w:rsidRDefault="002911E8" w:rsidP="002911E8">
            <w:r w:rsidRPr="002911E8">
              <w:t xml:space="preserve">Re Ellenborough Park, [1956] </w:t>
            </w:r>
            <w:proofErr w:type="spellStart"/>
            <w:r w:rsidRPr="002911E8">
              <w:t>Ch</w:t>
            </w:r>
            <w:proofErr w:type="spellEnd"/>
            <w:r w:rsidRPr="002911E8">
              <w:t xml:space="preserve"> 131; [1955] 3 All ER 667, applied.</w:t>
            </w:r>
          </w:p>
          <w:p w:rsidR="002911E8" w:rsidRPr="002911E8" w:rsidRDefault="002911E8" w:rsidP="002911E8">
            <w:r w:rsidRPr="002911E8">
              <w:t xml:space="preserve">Duncan v </w:t>
            </w:r>
            <w:proofErr w:type="spellStart"/>
            <w:r w:rsidRPr="002911E8">
              <w:t>Louch</w:t>
            </w:r>
            <w:proofErr w:type="spellEnd"/>
            <w:r w:rsidRPr="002911E8">
              <w:t xml:space="preserve"> (1845) 6 QB 904; 115 ER 341; Heywood v </w:t>
            </w:r>
            <w:proofErr w:type="spellStart"/>
            <w:r w:rsidRPr="002911E8">
              <w:t>Mallalieu</w:t>
            </w:r>
            <w:proofErr w:type="spellEnd"/>
            <w:r w:rsidRPr="002911E8">
              <w:t xml:space="preserve"> (1883) 25 </w:t>
            </w:r>
            <w:proofErr w:type="spellStart"/>
            <w:r w:rsidRPr="002911E8">
              <w:t>Ch</w:t>
            </w:r>
            <w:proofErr w:type="spellEnd"/>
            <w:r w:rsidRPr="002911E8">
              <w:t xml:space="preserve"> D 357; Attorney-General of Southern Nigeria v John Holt and Co. (Liverpool) Ltd., [1915] AC 599; [1914-15] All ER Rep 444; </w:t>
            </w:r>
            <w:proofErr w:type="spellStart"/>
            <w:r w:rsidRPr="002911E8">
              <w:t>Pwllbach</w:t>
            </w:r>
            <w:proofErr w:type="spellEnd"/>
            <w:r w:rsidRPr="002911E8">
              <w:t xml:space="preserve"> Colliery Co. Ltd. v Woodman, [1915] AC 634; [1914-15] All ER Rep 124; Commonwealth v Registrar of Titles (1918) 24 CLR 348; 24 ALR 106 Miller v </w:t>
            </w:r>
            <w:proofErr w:type="spellStart"/>
            <w:r w:rsidRPr="002911E8">
              <w:t>Emcer</w:t>
            </w:r>
            <w:proofErr w:type="spellEnd"/>
            <w:r w:rsidRPr="002911E8">
              <w:t xml:space="preserve"> Products Ltd, [1956] </w:t>
            </w:r>
            <w:proofErr w:type="spellStart"/>
            <w:r w:rsidRPr="002911E8">
              <w:t>Ch</w:t>
            </w:r>
            <w:proofErr w:type="spellEnd"/>
            <w:r w:rsidRPr="002911E8">
              <w:t xml:space="preserve"> 304; [1956] 1 All ER 237; Ward v Kirkland, [1967] </w:t>
            </w:r>
            <w:proofErr w:type="spellStart"/>
            <w:r w:rsidRPr="002911E8">
              <w:t>Ch</w:t>
            </w:r>
            <w:proofErr w:type="spellEnd"/>
            <w:r w:rsidRPr="002911E8">
              <w:t xml:space="preserve"> 194; [1966] 1 All ER 609; George Wimpey and Co. Ltd. v </w:t>
            </w:r>
            <w:proofErr w:type="spellStart"/>
            <w:r w:rsidRPr="002911E8">
              <w:t>Sohn</w:t>
            </w:r>
            <w:proofErr w:type="spellEnd"/>
            <w:r w:rsidRPr="002911E8">
              <w:t xml:space="preserve">, [1967] </w:t>
            </w:r>
            <w:proofErr w:type="spellStart"/>
            <w:r w:rsidRPr="002911E8">
              <w:t>Ch</w:t>
            </w:r>
            <w:proofErr w:type="spellEnd"/>
            <w:r w:rsidRPr="002911E8">
              <w:t xml:space="preserve"> 487; [1966] 1 All ER 232; Maurice </w:t>
            </w:r>
            <w:proofErr w:type="spellStart"/>
            <w:r w:rsidRPr="002911E8">
              <w:t>Toltz</w:t>
            </w:r>
            <w:proofErr w:type="spellEnd"/>
            <w:r w:rsidRPr="002911E8">
              <w:t xml:space="preserve"> Pty. Ltd. v </w:t>
            </w:r>
            <w:proofErr w:type="spellStart"/>
            <w:r w:rsidRPr="002911E8">
              <w:t>Macey's</w:t>
            </w:r>
            <w:proofErr w:type="spellEnd"/>
            <w:r w:rsidRPr="002911E8">
              <w:t xml:space="preserve"> Emporium Pty. Ltd., [1970] 1 NSWR 474; </w:t>
            </w:r>
            <w:proofErr w:type="spellStart"/>
            <w:r w:rsidRPr="002911E8">
              <w:t>Treweeke</w:t>
            </w:r>
            <w:proofErr w:type="spellEnd"/>
            <w:r w:rsidRPr="002911E8">
              <w:t xml:space="preserve"> v36 Wolseley Road Pty. Ltd. (1973) 47 ALJR 394, referred to.</w:t>
            </w:r>
          </w:p>
          <w:p w:rsidR="002911E8" w:rsidRPr="002911E8" w:rsidRDefault="002911E8" w:rsidP="002911E8">
            <w:bookmarkStart w:id="2" w:name="TAAB"/>
            <w:bookmarkStart w:id="3" w:name="PAGE_548"/>
            <w:bookmarkEnd w:id="2"/>
            <w:bookmarkEnd w:id="3"/>
            <w:r w:rsidRPr="002911E8">
              <w:rPr>
                <w:i/>
                <w:iCs/>
              </w:rPr>
              <w:t>[1974] VR 547 at 548</w:t>
            </w:r>
          </w:p>
          <w:p w:rsidR="002911E8" w:rsidRPr="002911E8" w:rsidRDefault="002911E8" w:rsidP="002911E8">
            <w:r w:rsidRPr="002911E8">
              <w:t>(2) The defendants failed to establish that they or their predecessors in title were intentionally in actual possession of the disputed area adverse to the possession of and with intent to exclude the true owner. The acts relied on by the defendants were equivocal and the evidence suggested that the user of the disputed area was but a special enjoyment of the liberty granted to the owners of lot 36 to use the reserve for recreation or a garden. Factors determining claim of adverse possession discussed.</w:t>
            </w:r>
          </w:p>
          <w:p w:rsidR="002911E8" w:rsidRPr="002911E8" w:rsidRDefault="002911E8" w:rsidP="002911E8">
            <w:proofErr w:type="spellStart"/>
            <w:r w:rsidRPr="002911E8">
              <w:t>Murnane</w:t>
            </w:r>
            <w:proofErr w:type="spellEnd"/>
            <w:r w:rsidRPr="002911E8">
              <w:t xml:space="preserve"> v Findlay, [1926] VLR 80, and George Wimpey and Co. Pty. Ltd. v </w:t>
            </w:r>
            <w:proofErr w:type="spellStart"/>
            <w:r w:rsidRPr="002911E8">
              <w:t>Sohn</w:t>
            </w:r>
            <w:proofErr w:type="spellEnd"/>
            <w:r w:rsidRPr="002911E8">
              <w:t xml:space="preserve">,[1967] </w:t>
            </w:r>
            <w:proofErr w:type="spellStart"/>
            <w:r w:rsidRPr="002911E8">
              <w:t>Ch</w:t>
            </w:r>
            <w:proofErr w:type="spellEnd"/>
            <w:r w:rsidRPr="002911E8">
              <w:t xml:space="preserve"> 487; [1966] 1 All ER 232, applied.</w:t>
            </w:r>
          </w:p>
          <w:p w:rsidR="002911E8" w:rsidRPr="002911E8" w:rsidRDefault="002911E8" w:rsidP="002911E8">
            <w:r w:rsidRPr="002911E8">
              <w:t xml:space="preserve">Leigh v Jack (1879) 5 Ex D 264; </w:t>
            </w:r>
            <w:proofErr w:type="spellStart"/>
            <w:r w:rsidRPr="002911E8">
              <w:t>Littledale</w:t>
            </w:r>
            <w:proofErr w:type="spellEnd"/>
            <w:r w:rsidRPr="002911E8">
              <w:t xml:space="preserve"> v Liverpool College, [1900] 1 </w:t>
            </w:r>
            <w:proofErr w:type="spellStart"/>
            <w:r w:rsidRPr="002911E8">
              <w:t>Ch</w:t>
            </w:r>
            <w:proofErr w:type="spellEnd"/>
            <w:r w:rsidRPr="002911E8">
              <w:t xml:space="preserve"> 19; Duke of Beaufort v John </w:t>
            </w:r>
            <w:proofErr w:type="spellStart"/>
            <w:r w:rsidRPr="002911E8">
              <w:t>Aird</w:t>
            </w:r>
            <w:proofErr w:type="spellEnd"/>
            <w:r w:rsidRPr="002911E8">
              <w:t xml:space="preserve"> and Co. (1904) 20 TLR 602; Philpot v Bath (1904) 20 TLR 589; (1905) 21 TLR 634, and Clements v Jones (1909) 8 CLR 133, referred to.</w:t>
            </w:r>
          </w:p>
          <w:p w:rsidR="002911E8" w:rsidRPr="002911E8" w:rsidRDefault="002911E8" w:rsidP="002911E8">
            <w:r w:rsidRPr="002911E8">
              <w:t>(3) On the evidence, there was no abandonment of the easement by the plaintiffs despite the long non-user of the disputed area. Factors relevant to questions abandonment of easements discussed.</w:t>
            </w:r>
          </w:p>
          <w:p w:rsidR="002911E8" w:rsidRPr="002911E8" w:rsidRDefault="002911E8" w:rsidP="002911E8">
            <w:r w:rsidRPr="002911E8">
              <w:t xml:space="preserve">George Wimpey and Co. Ltd. v </w:t>
            </w:r>
            <w:proofErr w:type="spellStart"/>
            <w:r w:rsidRPr="002911E8">
              <w:t>Sohn</w:t>
            </w:r>
            <w:proofErr w:type="spellEnd"/>
            <w:r w:rsidRPr="002911E8">
              <w:t xml:space="preserve">, [1967] </w:t>
            </w:r>
            <w:proofErr w:type="spellStart"/>
            <w:r w:rsidRPr="002911E8">
              <w:t>Ch</w:t>
            </w:r>
            <w:proofErr w:type="spellEnd"/>
            <w:r w:rsidRPr="002911E8">
              <w:t xml:space="preserve"> 487, at p. 512 per Russell, LJ</w:t>
            </w:r>
            <w:proofErr w:type="gramStart"/>
            <w:r w:rsidRPr="002911E8">
              <w:t>;[</w:t>
            </w:r>
            <w:proofErr w:type="gramEnd"/>
            <w:r w:rsidRPr="002911E8">
              <w:t>1966] 1 All ER 232, applied.</w:t>
            </w:r>
          </w:p>
          <w:p w:rsidR="002911E8" w:rsidRPr="002911E8" w:rsidRDefault="002911E8" w:rsidP="002911E8">
            <w:r w:rsidRPr="002911E8">
              <w:t xml:space="preserve">Rogers v Brook (1784) 1 TR 431; Ward v Ward (1852) 7 </w:t>
            </w:r>
            <w:proofErr w:type="spellStart"/>
            <w:r w:rsidRPr="002911E8">
              <w:t>Exch</w:t>
            </w:r>
            <w:proofErr w:type="spellEnd"/>
            <w:r w:rsidRPr="002911E8">
              <w:t xml:space="preserve"> 838; 155 ER 1189; </w:t>
            </w:r>
            <w:proofErr w:type="spellStart"/>
            <w:r w:rsidRPr="002911E8">
              <w:t>Crossley</w:t>
            </w:r>
            <w:proofErr w:type="spellEnd"/>
            <w:r w:rsidRPr="002911E8">
              <w:t xml:space="preserve"> and Sons Ltd. v </w:t>
            </w:r>
            <w:proofErr w:type="spellStart"/>
            <w:r w:rsidRPr="002911E8">
              <w:t>Lightowler</w:t>
            </w:r>
            <w:proofErr w:type="spellEnd"/>
            <w:r w:rsidRPr="002911E8">
              <w:t xml:space="preserve"> (1867) 2 </w:t>
            </w:r>
            <w:proofErr w:type="spellStart"/>
            <w:r w:rsidRPr="002911E8">
              <w:t>Ch</w:t>
            </w:r>
            <w:proofErr w:type="spellEnd"/>
            <w:r w:rsidRPr="002911E8">
              <w:t xml:space="preserve"> App 478; Cook v Mayor and Corporation of Bath (1868) LR 6 </w:t>
            </w:r>
            <w:proofErr w:type="spellStart"/>
            <w:r w:rsidRPr="002911E8">
              <w:t>Eq</w:t>
            </w:r>
            <w:proofErr w:type="spellEnd"/>
            <w:r w:rsidRPr="002911E8">
              <w:t xml:space="preserve"> 177; </w:t>
            </w:r>
            <w:proofErr w:type="spellStart"/>
            <w:r w:rsidRPr="002911E8">
              <w:t>Philipps</w:t>
            </w:r>
            <w:proofErr w:type="spellEnd"/>
            <w:r w:rsidRPr="002911E8">
              <w:t xml:space="preserve"> v </w:t>
            </w:r>
            <w:proofErr w:type="spellStart"/>
            <w:r w:rsidRPr="002911E8">
              <w:t>Halliday</w:t>
            </w:r>
            <w:proofErr w:type="spellEnd"/>
            <w:r w:rsidRPr="002911E8">
              <w:t xml:space="preserve">, [1891] AC 228; James v Stevenson, [1893] AC 162; Clement v Jones (1909) 8 CLR </w:t>
            </w:r>
            <w:r w:rsidRPr="002911E8">
              <w:lastRenderedPageBreak/>
              <w:t xml:space="preserve">133; 15 ALR 158; Keewatin Power Co. Ltd. v Lake of the Woods Milling Co. Ltd., [1930] AC 646; </w:t>
            </w:r>
            <w:proofErr w:type="spellStart"/>
            <w:r w:rsidRPr="002911E8">
              <w:t>Bulstrode</w:t>
            </w:r>
            <w:proofErr w:type="spellEnd"/>
            <w:r w:rsidRPr="002911E8">
              <w:t xml:space="preserve"> v Lambert, [1953] 2 All ER 728, and Re Marriott, [1968] VR 260, referred to.</w:t>
            </w:r>
          </w:p>
          <w:p w:rsidR="002911E8" w:rsidRPr="002911E8" w:rsidRDefault="002911E8" w:rsidP="002911E8">
            <w:r w:rsidRPr="002911E8">
              <w:t>(4) Regardless of any evidence as to abandonment, the notification of the easement on the respective certificates of title of the plaintiffs was conclusive evidence that the registered proprietor was entitled to that easement.</w:t>
            </w:r>
          </w:p>
          <w:p w:rsidR="002911E8" w:rsidRPr="002911E8" w:rsidRDefault="002911E8" w:rsidP="002911E8">
            <w:r w:rsidRPr="002911E8">
              <w:t xml:space="preserve">Per </w:t>
            </w:r>
            <w:proofErr w:type="spellStart"/>
            <w:r w:rsidRPr="002911E8">
              <w:t>curiam</w:t>
            </w:r>
            <w:proofErr w:type="spellEnd"/>
            <w:r w:rsidRPr="002911E8">
              <w:t xml:space="preserve">: Until a notification upon a certificate of title of an easement as an encumbrance is removed by the Registrar as the result of a successful application under s73 of the Transfer of Land Act, no abandonment in fact will affect the conclusive evidence to be found in the certificate of title. Such an application under s73 may be made only by the registered proprietor of the </w:t>
            </w:r>
            <w:proofErr w:type="spellStart"/>
            <w:r w:rsidRPr="002911E8">
              <w:t>servient</w:t>
            </w:r>
            <w:proofErr w:type="spellEnd"/>
            <w:r w:rsidRPr="002911E8">
              <w:t xml:space="preserve"> tenement.</w:t>
            </w:r>
          </w:p>
          <w:p w:rsidR="002911E8" w:rsidRPr="002911E8" w:rsidRDefault="002911E8" w:rsidP="002911E8">
            <w:r w:rsidRPr="002911E8">
              <w:t>Webster v Strong, [1926] VLR 509; 32 ALR 323, applied.</w:t>
            </w:r>
          </w:p>
          <w:p w:rsidR="002911E8" w:rsidRPr="002911E8" w:rsidRDefault="002911E8" w:rsidP="002911E8">
            <w:r w:rsidRPr="002911E8">
              <w:t xml:space="preserve">Frazer v Walker, [1967] 1 AC 569; [1967] 1 All ER 649, and </w:t>
            </w:r>
            <w:proofErr w:type="spellStart"/>
            <w:r w:rsidRPr="002911E8">
              <w:t>Breskvar</w:t>
            </w:r>
            <w:proofErr w:type="spellEnd"/>
            <w:r w:rsidRPr="002911E8">
              <w:t xml:space="preserve"> v Wall (1972) 46 ALJR 68, considered.</w:t>
            </w:r>
          </w:p>
          <w:p w:rsidR="002911E8" w:rsidRPr="002911E8" w:rsidRDefault="002911E8" w:rsidP="002911E8">
            <w:r w:rsidRPr="002911E8">
              <w:t>(5) Accordingly there should be judgment for the plaintiff and a declaration that they are each entitled to use and enjoy the relevant land in common with each of the plaintiffs and the defendants for the purpose of recreation or a garden or a park in accordance with the terms of the easement and an injunction restraining the defendants from depriving the plaintiffs of the use and enjoyment of the land for the purpose of recreation or a garden or a park having regard to the present state or condition of the land as a garden.</w:t>
            </w:r>
          </w:p>
          <w:p w:rsidR="002911E8" w:rsidRPr="002911E8" w:rsidRDefault="002911E8" w:rsidP="002911E8"/>
          <w:p w:rsidR="002911E8" w:rsidRPr="002911E8" w:rsidRDefault="002911E8" w:rsidP="002911E8">
            <w:r w:rsidRPr="002911E8">
              <w:rPr>
                <w:b/>
                <w:bCs/>
              </w:rPr>
              <w:t>Trial of Action</w:t>
            </w:r>
          </w:p>
          <w:p w:rsidR="002911E8" w:rsidRPr="002911E8" w:rsidRDefault="002911E8" w:rsidP="002911E8">
            <w:r w:rsidRPr="002911E8">
              <w:t>The facts are set out in the judgment, infra.</w:t>
            </w:r>
          </w:p>
          <w:p w:rsidR="002911E8" w:rsidRPr="002911E8" w:rsidRDefault="002911E8" w:rsidP="002911E8">
            <w:r w:rsidRPr="002911E8">
              <w:t>H. C. Emery, for the plaintiffs.</w:t>
            </w:r>
          </w:p>
          <w:p w:rsidR="002911E8" w:rsidRPr="002911E8" w:rsidRDefault="002911E8" w:rsidP="002911E8">
            <w:r w:rsidRPr="002911E8">
              <w:t>Waldron, QC, and J.VC Guest, for the defendants.</w:t>
            </w:r>
          </w:p>
          <w:p w:rsidR="002911E8" w:rsidRPr="002911E8" w:rsidRDefault="002911E8" w:rsidP="002911E8">
            <w:bookmarkStart w:id="4" w:name="TAAC"/>
            <w:bookmarkEnd w:id="4"/>
            <w:r w:rsidRPr="002911E8">
              <w:t>Gillard, J:</w:t>
            </w:r>
          </w:p>
          <w:p w:rsidR="002911E8" w:rsidRPr="002911E8" w:rsidRDefault="002911E8" w:rsidP="002911E8">
            <w:r w:rsidRPr="002911E8">
              <w:t>This is an action brought by a number of registered proprietors of allotments of land at Eaglemont on a plan of subdivision No. 6665 lodged in the Office of Titles against the present registered joint proprietors of lot No. 36 on such subdivision.</w:t>
            </w:r>
          </w:p>
          <w:p w:rsidR="002911E8" w:rsidRPr="002911E8" w:rsidRDefault="002911E8" w:rsidP="002911E8">
            <w:bookmarkStart w:id="5" w:name="TAACAAB"/>
            <w:bookmarkStart w:id="6" w:name="PAGE_549"/>
            <w:bookmarkEnd w:id="5"/>
            <w:bookmarkEnd w:id="6"/>
            <w:r w:rsidRPr="002911E8">
              <w:rPr>
                <w:i/>
                <w:iCs/>
              </w:rPr>
              <w:t>[1974] VR 547 at 549</w:t>
            </w:r>
          </w:p>
          <w:p w:rsidR="002911E8" w:rsidRPr="002911E8" w:rsidRDefault="002911E8" w:rsidP="002911E8">
            <w:r w:rsidRPr="002911E8">
              <w:t xml:space="preserve">The original owner of the land subdivided was one Peter Ernest </w:t>
            </w:r>
            <w:proofErr w:type="spellStart"/>
            <w:r w:rsidRPr="002911E8">
              <w:t>Keam</w:t>
            </w:r>
            <w:proofErr w:type="spellEnd"/>
            <w:r w:rsidRPr="002911E8">
              <w:t xml:space="preserve"> and it is agreed by counsel for all parties that he had transferred all lots relevant to this litigation out of the subdivision by 1928. The form of each instrument of transfer adopted by </w:t>
            </w:r>
            <w:proofErr w:type="spellStart"/>
            <w:r w:rsidRPr="002911E8">
              <w:t>Keam</w:t>
            </w:r>
            <w:proofErr w:type="spellEnd"/>
            <w:r w:rsidRPr="002911E8">
              <w:t xml:space="preserve"> designed a building scheme providing an interesting and rather gracious residential area in the subdivision. Each transferee entered into a restrictive covenant which in effect required each transferee and his successors in title to use the lot transferred for residential purposes only. A feature of the scheme, however, was that whilst each of the relevant lots was to be used solely for one residence at a specified value to face onto private </w:t>
            </w:r>
            <w:r w:rsidRPr="002911E8">
              <w:lastRenderedPageBreak/>
              <w:t xml:space="preserve">roads on the subdivision over which the transferees and their successors in title were granted rights of way, the rear boundaries of the lots transferred enclosed an area of nearly two acres known as "Outlook Park Reserve". To understand the layout I attach to these reasons for judgment a </w:t>
            </w:r>
            <w:proofErr w:type="spellStart"/>
            <w:r w:rsidRPr="002911E8">
              <w:t>photostat</w:t>
            </w:r>
            <w:proofErr w:type="spellEnd"/>
            <w:r w:rsidRPr="002911E8">
              <w:t xml:space="preserve"> copy of that part of the plan of the subdivision.</w:t>
            </w:r>
          </w:p>
          <w:p w:rsidR="002911E8" w:rsidRPr="002911E8" w:rsidRDefault="002911E8" w:rsidP="002911E8">
            <w:proofErr w:type="spellStart"/>
            <w:r w:rsidRPr="002911E8">
              <w:t>Keam</w:t>
            </w:r>
            <w:proofErr w:type="spellEnd"/>
            <w:r w:rsidRPr="002911E8">
              <w:t xml:space="preserve">, who is still registered as the proprietor in fee simple of the reserve, granted expressly to each transferee of the lots transferred by him a </w:t>
            </w:r>
            <w:bookmarkStart w:id="7" w:name="_GoBack"/>
            <w:bookmarkEnd w:id="7"/>
            <w:r w:rsidRPr="002911E8">
              <w:t>right in the following form:--</w:t>
            </w:r>
          </w:p>
          <w:p w:rsidR="002911E8" w:rsidRPr="002911E8" w:rsidRDefault="002911E8" w:rsidP="002911E8">
            <w:r w:rsidRPr="002911E8">
              <w:t>"Together with liberty for the said transferee, his heirs, executors, administrators and transferees, registered proprietor or proprietors for the time being of the said lot...and his and their tenants for the time being thereof at his and their own sole risk at all times hereafter to use and enjoy (in common with the registered proprietor or proprietors for the time being of all or any other of lots 27 to 41 both inclusive on the said plan of subdivision) the land shown as Outlook Park Reserve on the said plan and thereon coloured green and blue for the purposes of recreation or a garden or a park but subject to such rules and regulations respecting the user and enjoyment for the purposes aforesaid of the said Outlook Park Reserve as shall from time to time be made by me my heirs executors administrators until I or they shall have transferred or caused to be transferred all of such last-mentioned lots and thereafter by the majority in number of the registered proprietors for the time being of such last-mentioned lots."</w:t>
            </w:r>
          </w:p>
          <w:p w:rsidR="002911E8" w:rsidRPr="002911E8" w:rsidRDefault="002911E8" w:rsidP="002911E8">
            <w:r w:rsidRPr="002911E8">
              <w:t xml:space="preserve">Two comments might be made immediately about the verbiage of the "liberty" granted. In all cases the right granted was to use and enjoy the reserve "for the purposes of recreation or a garden or a park". But in some instruments of transfer the right was granted by </w:t>
            </w:r>
            <w:proofErr w:type="spellStart"/>
            <w:r w:rsidRPr="002911E8">
              <w:t>Keam</w:t>
            </w:r>
            <w:proofErr w:type="spellEnd"/>
            <w:r w:rsidRPr="002911E8">
              <w:t xml:space="preserve"> to the transferee named therein in common with all other holders. In other transfers the liberty was granted to the transferee in common with transferees of lots 23 to 44 and to others of 27 to 41. It will be seen from the plan attached that </w:t>
            </w:r>
            <w:proofErr w:type="gramStart"/>
            <w:r w:rsidRPr="002911E8">
              <w:t>these last-mentioned lots, that is</w:t>
            </w:r>
            <w:proofErr w:type="gramEnd"/>
            <w:r w:rsidRPr="002911E8">
              <w:t xml:space="preserve"> 27 to 41, are immediately contiguous to the bulk of the reserve. In interpreting "the liberty" granted the physical condition of the area, the intent of the designer of the scheme and the purpose of the grant of "the liberty" are all relevant to assist in finding the true nature of the grant. Of course, the physical condition of the subdivision today is quite different from that when "the liberty" was granted: cf. </w:t>
            </w:r>
            <w:proofErr w:type="spellStart"/>
            <w:r w:rsidRPr="002911E8">
              <w:t>Bulstrode</w:t>
            </w:r>
            <w:proofErr w:type="spellEnd"/>
            <w:r w:rsidRPr="002911E8">
              <w:t xml:space="preserve"> v Lambert, [1953] 2 All ER 728, at p. 731; </w:t>
            </w:r>
            <w:proofErr w:type="spellStart"/>
            <w:r w:rsidRPr="002911E8">
              <w:t>McIlraith</w:t>
            </w:r>
            <w:proofErr w:type="spellEnd"/>
            <w:r w:rsidRPr="002911E8">
              <w:t xml:space="preserve"> v Grady, [1967] 3 All ER 625, at p. 627. Secondly, the evidence led by the parties did not establish that despite the provisions in the instruments of transfer any rules or regulations respecting the user and enjoyment of the reserve had ever been made by either </w:t>
            </w:r>
            <w:proofErr w:type="spellStart"/>
            <w:r w:rsidRPr="002911E8">
              <w:t>Keam</w:t>
            </w:r>
            <w:proofErr w:type="spellEnd"/>
            <w:r w:rsidRPr="002911E8">
              <w:t xml:space="preserve"> or the majority of holders of the lots, depending, of course, on which lots were named in the instrument of transfer.... (FOR-DIAGRAM-PLEASE SEE [1974] VR at p.550)</w:t>
            </w:r>
          </w:p>
          <w:p w:rsidR="002911E8" w:rsidRPr="002911E8" w:rsidRDefault="002911E8" w:rsidP="002911E8">
            <w:bookmarkStart w:id="8" w:name="TAACAAC"/>
            <w:bookmarkStart w:id="9" w:name="PAGE_551"/>
            <w:bookmarkEnd w:id="8"/>
            <w:bookmarkEnd w:id="9"/>
            <w:r w:rsidRPr="002911E8">
              <w:rPr>
                <w:i/>
                <w:iCs/>
              </w:rPr>
              <w:t>[1974] VR 547 at 551</w:t>
            </w:r>
          </w:p>
          <w:p w:rsidR="002911E8" w:rsidRPr="002911E8" w:rsidRDefault="002911E8" w:rsidP="002911E8">
            <w:r w:rsidRPr="002911E8">
              <w:t xml:space="preserve">In order to understand the points at issue, it is necessary to consider something of the history of the reserve, and in particular the nature of the use from time to time by the registered proprietor of </w:t>
            </w:r>
            <w:proofErr w:type="spellStart"/>
            <w:r w:rsidRPr="002911E8">
              <w:t>lot</w:t>
            </w:r>
            <w:proofErr w:type="spellEnd"/>
            <w:r w:rsidRPr="002911E8">
              <w:t xml:space="preserve"> 36 of an enclosed portion of the reserve immediately at the rear of lot 36 and a portion of the southern adjoining lot 35. Having regard to the fact that the last relevant allotment was transferred by </w:t>
            </w:r>
            <w:proofErr w:type="spellStart"/>
            <w:r w:rsidRPr="002911E8">
              <w:t>Keam</w:t>
            </w:r>
            <w:proofErr w:type="spellEnd"/>
            <w:r w:rsidRPr="002911E8">
              <w:t xml:space="preserve"> in 1928 and building on the subdivision progressed fairly slowly until World War II, it was inevitable that the evidence of the history of the area should have been somewhat sketchy. </w:t>
            </w:r>
            <w:proofErr w:type="spellStart"/>
            <w:r w:rsidRPr="002911E8">
              <w:t>Mr.</w:t>
            </w:r>
            <w:proofErr w:type="spellEnd"/>
            <w:r w:rsidRPr="002911E8">
              <w:t xml:space="preserve"> Waldron of Queen's Counsel and </w:t>
            </w:r>
            <w:proofErr w:type="spellStart"/>
            <w:r w:rsidRPr="002911E8">
              <w:t>Mr.</w:t>
            </w:r>
            <w:proofErr w:type="spellEnd"/>
            <w:r w:rsidRPr="002911E8">
              <w:t xml:space="preserve"> Guest, counsel for the defendants, and </w:t>
            </w:r>
            <w:proofErr w:type="spellStart"/>
            <w:r w:rsidRPr="002911E8">
              <w:t>Mr.</w:t>
            </w:r>
            <w:proofErr w:type="spellEnd"/>
            <w:r w:rsidRPr="002911E8">
              <w:t xml:space="preserve"> Emery of counsel for the plaintiffs, however, have each urged me to draw inferences from the few facts established by </w:t>
            </w:r>
            <w:r w:rsidRPr="002911E8">
              <w:lastRenderedPageBreak/>
              <w:t>the evidence and also from the condition of the reserve from time to time as established in the evidence.</w:t>
            </w:r>
          </w:p>
          <w:p w:rsidR="002911E8" w:rsidRPr="002911E8" w:rsidRDefault="002911E8" w:rsidP="002911E8">
            <w:r w:rsidRPr="002911E8">
              <w:t xml:space="preserve">Before dealing with the evidence of the witnesses it is necessary to discover the dispute between the parties and how it arose. It is common ground that at the rear of the western boundary of lot 36 and part of lot 35, and contiguous thereto, there is and has been for a long time (probably over 40 years) an irregular shaped area of ground about 231/10th perches of the reserve, with a dilapidated old wire-netting fence erected and enclosing it on the north-west and south sides of the area, with gates at the north and south ends of this fencing. The area is approximately 112 </w:t>
            </w:r>
            <w:proofErr w:type="spellStart"/>
            <w:r w:rsidRPr="002911E8">
              <w:t>ft</w:t>
            </w:r>
            <w:proofErr w:type="spellEnd"/>
            <w:r w:rsidRPr="002911E8">
              <w:t xml:space="preserve"> 5 1/2 inches long from north to south, and 46 </w:t>
            </w:r>
            <w:proofErr w:type="spellStart"/>
            <w:r w:rsidRPr="002911E8">
              <w:t>ft</w:t>
            </w:r>
            <w:proofErr w:type="spellEnd"/>
            <w:r w:rsidRPr="002911E8">
              <w:t xml:space="preserve"> 7 3/4 inches wide from the west wire-netting fence to the rear or western boundary of lots 36 and 35. It is this area which is the subject of the litigation, and which, therefore, will for convenience be referred to as "the disputed area". At present and for many years the disputed area has been used for the purpose of a garden, with shrubs, trees, decorative stonework and a water reticulation service and sprinkler system along the western wire-netting fence. On the disputed area there are also erected two circular clothes hoists, one being of hydraulic type erected before 1966, at which precise date I am unable to determine, and the other erected by the defendants since their occupation of lot 36 commenced in 1967. There are also erected two lamp posts, but other than that they were there prior to 1967, I am unable to say when they were erected. After 1967 on the south end of the disputed area there has been placed by the present occupiers of lot 35 equipment for children's recreation, such as a sandpit, a slide, a swing and a seesaw, which are used by the children of such owner and such other children as congregate to play with them, using the equipment. According to the evidence there is no fence now or at any earlier time erected along the western boundary of lot 36, and photographs of the disputed area, taken by one of the plaintiffs and produced in evidence, establish that </w:t>
            </w:r>
            <w:proofErr w:type="spellStart"/>
            <w:r w:rsidRPr="002911E8">
              <w:t>Mrs.</w:t>
            </w:r>
            <w:proofErr w:type="spellEnd"/>
            <w:r w:rsidRPr="002911E8">
              <w:t xml:space="preserve"> </w:t>
            </w:r>
            <w:proofErr w:type="spellStart"/>
            <w:r w:rsidRPr="002911E8">
              <w:t>Penttila's</w:t>
            </w:r>
            <w:proofErr w:type="spellEnd"/>
            <w:r w:rsidRPr="002911E8">
              <w:t xml:space="preserve"> testimony of a well-established garden from the western edge of the disputed area up to and continuing on into lot 36 with a house behind (that is, the house in which the defendants now live) is a fair description of the disputed area and of the use being made of it.</w:t>
            </w:r>
          </w:p>
          <w:p w:rsidR="002911E8" w:rsidRPr="002911E8" w:rsidRDefault="002911E8" w:rsidP="002911E8">
            <w:r w:rsidRPr="002911E8">
              <w:t>In 1971 the defendants caused an excavation to be made by a contractor in the disputed area for the purpose of installing a permanent swimming pool. The soil taken from the excavation was dumped by the construction contractors on the reserve west of the western wire-netting fence of the disputed area. This immediately aroused some of the neighbours into action, and they instructed a firm of solicitors to write to the defendants. [His Honour then set out the correspondence which ensued between the defendants and the solicitors for the plaintiffs and continued:--]</w:t>
            </w:r>
          </w:p>
          <w:p w:rsidR="002911E8" w:rsidRPr="002911E8" w:rsidRDefault="002911E8" w:rsidP="002911E8">
            <w:bookmarkStart w:id="10" w:name="TAACAAD"/>
            <w:bookmarkStart w:id="11" w:name="PAGE_552"/>
            <w:bookmarkEnd w:id="10"/>
            <w:bookmarkEnd w:id="11"/>
            <w:r w:rsidRPr="002911E8">
              <w:rPr>
                <w:i/>
                <w:iCs/>
              </w:rPr>
              <w:t>[1974] VR 547 at 552</w:t>
            </w:r>
          </w:p>
          <w:p w:rsidR="002911E8" w:rsidRPr="002911E8" w:rsidRDefault="002911E8" w:rsidP="002911E8">
            <w:r w:rsidRPr="002911E8">
              <w:t xml:space="preserve">On the other hand it was the defendant's claims and the expression of their intentions as stated in the correspondence which really caused this litigation. The claims made really form the foundation for the present proceedings. The plaintiffs had not in the past, and indeed would have found some difficulty in justifying a claim to have the fence removed. But now that the defendants were claiming that the disputed area was their property in fee simple, and that the area was discharged from any "liberty" created by </w:t>
            </w:r>
            <w:proofErr w:type="spellStart"/>
            <w:r w:rsidRPr="002911E8">
              <w:t>Keam</w:t>
            </w:r>
            <w:proofErr w:type="spellEnd"/>
            <w:r w:rsidRPr="002911E8">
              <w:t>, then obviously a different set of circumstances existed thereafter.</w:t>
            </w:r>
          </w:p>
          <w:p w:rsidR="002911E8" w:rsidRPr="002911E8" w:rsidRDefault="002911E8" w:rsidP="002911E8">
            <w:r w:rsidRPr="002911E8">
              <w:t xml:space="preserve">On 6 June 1972 a writ was issued against the defendants, </w:t>
            </w:r>
            <w:proofErr w:type="spellStart"/>
            <w:r w:rsidRPr="002911E8">
              <w:t>Mr.</w:t>
            </w:r>
            <w:proofErr w:type="spellEnd"/>
            <w:r w:rsidRPr="002911E8">
              <w:t xml:space="preserve"> and </w:t>
            </w:r>
            <w:proofErr w:type="spellStart"/>
            <w:r w:rsidRPr="002911E8">
              <w:t>Mrs.</w:t>
            </w:r>
            <w:proofErr w:type="spellEnd"/>
            <w:r w:rsidRPr="002911E8">
              <w:t xml:space="preserve"> </w:t>
            </w:r>
            <w:proofErr w:type="spellStart"/>
            <w:r w:rsidRPr="002911E8">
              <w:t>Penttila</w:t>
            </w:r>
            <w:proofErr w:type="spellEnd"/>
            <w:r w:rsidRPr="002911E8">
              <w:t xml:space="preserve">, by some, I think, 14 plaintiffs, the then registered proprietors of various lots on the subdivision close to lot 36. Since the </w:t>
            </w:r>
            <w:r w:rsidRPr="002911E8">
              <w:lastRenderedPageBreak/>
              <w:t xml:space="preserve">proceedings were instituted there have been changes in the ownership of such lots, and by consent of the defendants various changes in the names of the plaintiffs have been made, and I think the result now is that there are some 18 plaintiffs claiming similar rights against the defendants based upon the grant of </w:t>
            </w:r>
            <w:proofErr w:type="spellStart"/>
            <w:r w:rsidRPr="002911E8">
              <w:t>the"liberty</w:t>
            </w:r>
            <w:proofErr w:type="spellEnd"/>
            <w:r w:rsidRPr="002911E8">
              <w:t xml:space="preserve">" by </w:t>
            </w:r>
            <w:proofErr w:type="spellStart"/>
            <w:r w:rsidRPr="002911E8">
              <w:t>Keam</w:t>
            </w:r>
            <w:proofErr w:type="spellEnd"/>
            <w:r w:rsidRPr="002911E8">
              <w:t>. In effect, each plaintiff claimed that he or she was at all times material and still is entitled to use and enjoy in common with others, including the other plaintiffs and the defendants, the reserve for the purpose of recreation or a garden or a park and that the defendants have by their actions wrongfully deprived and threatened to deprive each of the plaintiffs of the use and enjoyment of that part of the reserve, the disputed area. Accordingly, the plaintiffs are seeking declaration of their rights over the disputed area and appropriate injunctions against the defendants to protect such rights. It must be remembered, however, that although the plaintiffs sue jointly, each claim should, if necessary, be considered separately, and it is agreed by counsel that if one plaintiff can establish a case, then, in fact, the defendants fail in the action.</w:t>
            </w:r>
          </w:p>
          <w:p w:rsidR="002911E8" w:rsidRPr="002911E8" w:rsidRDefault="002911E8" w:rsidP="002911E8">
            <w:r w:rsidRPr="002911E8">
              <w:t xml:space="preserve">By their defence the defendants claim that the rear of lot 36 abuts on "an enclosed area which has ceased to be part of the reserve" and that the rights conferred on the plaintiffs did not constitute an easement, or a restrictive covenant binding the defendants. The defendants also averred that on 4 November 1966 they purchased the property known as No. 33 Outlook Drive, Eaglemont, which at that time comprised lot 36 and the disputed area, and that since 25 April 1967 they have been in possession of such property, including the disputed area. They admitted they have deprived the plaintiffs of the use and enjoyment of the disputed area, but deny that the plaintiffs have any right to such use and enjoyment. The defendants also aver that the disputed area had been enclosed and used by the defendants and their predecessors in title for their own purposes and to the exclusion of the plaintiffs and their predecessors in title, and to the exclusion of the registered proprietor, his </w:t>
            </w:r>
            <w:proofErr w:type="gramStart"/>
            <w:r w:rsidRPr="002911E8">
              <w:t>executors</w:t>
            </w:r>
            <w:proofErr w:type="gramEnd"/>
            <w:r w:rsidRPr="002911E8">
              <w:t xml:space="preserve"> administrators and transferees of the reserve for 30 years and upwards. They further pleaded that by reason of the operation of the Limitation of Actions Act 1958, or, in the alternative, </w:t>
            </w:r>
            <w:proofErr w:type="spellStart"/>
            <w:r w:rsidRPr="002911E8">
              <w:t>PtIX</w:t>
            </w:r>
            <w:proofErr w:type="spellEnd"/>
            <w:r w:rsidRPr="002911E8">
              <w:t xml:space="preserve"> of the Property Law Act 1928, the title of the registered proprietor to the disputed area had been extinguished and the defendants had acquired title thereto by adverse possession, and in virtue of s60 of the Transfer of Land Act 1958 were entitled to become the registered proprietors of the disputed area. In support of such plea the defendants expressly allege that none of the plaintiffs has the right to restrain the defendants from making an application under s60.</w:t>
            </w:r>
          </w:p>
          <w:p w:rsidR="002911E8" w:rsidRPr="002911E8" w:rsidRDefault="002911E8" w:rsidP="002911E8">
            <w:bookmarkStart w:id="12" w:name="TAACAAE"/>
            <w:bookmarkStart w:id="13" w:name="PAGE_553"/>
            <w:bookmarkEnd w:id="12"/>
            <w:bookmarkEnd w:id="13"/>
            <w:r w:rsidRPr="002911E8">
              <w:rPr>
                <w:i/>
                <w:iCs/>
              </w:rPr>
              <w:t>[1974] VR 547 at 553</w:t>
            </w:r>
          </w:p>
          <w:p w:rsidR="002911E8" w:rsidRPr="002911E8" w:rsidRDefault="002911E8" w:rsidP="002911E8">
            <w:r w:rsidRPr="002911E8">
              <w:t>All of these were and are important averments of fact, but, in my view, the most salient allegation made by the defendants is to be found in par. 21 of the defence.</w:t>
            </w:r>
          </w:p>
          <w:p w:rsidR="002911E8" w:rsidRPr="002911E8" w:rsidRDefault="002911E8" w:rsidP="002911E8">
            <w:r w:rsidRPr="002911E8">
              <w:t>It reads:--</w:t>
            </w:r>
          </w:p>
          <w:p w:rsidR="002911E8" w:rsidRPr="002911E8" w:rsidRDefault="002911E8" w:rsidP="002911E8">
            <w:r w:rsidRPr="002911E8">
              <w:t xml:space="preserve">"If the plaintiffs or any of them or their predecessors in title ever had any entitlement to use and enjoy the Reserve as alleged in </w:t>
            </w:r>
            <w:proofErr w:type="spellStart"/>
            <w:r w:rsidRPr="002911E8">
              <w:t>para</w:t>
            </w:r>
            <w:proofErr w:type="spellEnd"/>
            <w:r w:rsidRPr="002911E8">
              <w:t xml:space="preserve">. 13 of the plaintiffs' statement of claim, the plaintiffs or their predecessors in title and possession at a date prior to 1930 agreed to, or alternatively acquiesced in one Alfred </w:t>
            </w:r>
            <w:proofErr w:type="spellStart"/>
            <w:r w:rsidRPr="002911E8">
              <w:t>Elial</w:t>
            </w:r>
            <w:proofErr w:type="spellEnd"/>
            <w:r w:rsidRPr="002911E8">
              <w:t xml:space="preserve"> </w:t>
            </w:r>
            <w:proofErr w:type="spellStart"/>
            <w:r w:rsidRPr="002911E8">
              <w:t>Pizzey</w:t>
            </w:r>
            <w:proofErr w:type="spellEnd"/>
            <w:r w:rsidRPr="002911E8">
              <w:t xml:space="preserve"> the then registered proprietor of lot 36 on plan of subdivision 6665 fencing in the enclosed land, erecting a tennis court thereon and thereby altering the character of the enclosed land from being part of a park or reserve. The said tennis court had fallen into disuse in or about the year 1940, and the plaintiffs or their predecessors in title and possession in or about the year 1940 acquiesced in and suffered the enclosed land to be converted into part of the private garden of the </w:t>
            </w:r>
            <w:r w:rsidRPr="002911E8">
              <w:lastRenderedPageBreak/>
              <w:t xml:space="preserve">property known as 33 Outlook Drive, Eaglemont and further acquiesced in and suffered rock work to be constructed and clothes lines to be erected on the enclosed land. For a period of 30 years and upwards none of the plaintiffs or their predecessors in title or possession have used or exercised the rights alleged in </w:t>
            </w:r>
            <w:proofErr w:type="spellStart"/>
            <w:r w:rsidRPr="002911E8">
              <w:t>para</w:t>
            </w:r>
            <w:proofErr w:type="spellEnd"/>
            <w:r w:rsidRPr="002911E8">
              <w:t xml:space="preserve">. 13 of the plaintiffs' statement of claim. If the plaintiffs or their predecessors in title ever had the right alleged in </w:t>
            </w:r>
            <w:proofErr w:type="spellStart"/>
            <w:r w:rsidRPr="002911E8">
              <w:t>para</w:t>
            </w:r>
            <w:proofErr w:type="spellEnd"/>
            <w:r w:rsidRPr="002911E8">
              <w:t>. 13 of the plaintiffs' statement of claim such rights have been released or alternatively abandoned and have become extinguished."</w:t>
            </w:r>
          </w:p>
          <w:p w:rsidR="002911E8" w:rsidRPr="002911E8" w:rsidRDefault="002911E8" w:rsidP="002911E8">
            <w:r w:rsidRPr="002911E8">
              <w:t>The defendants also pleaded laches and acquiescence, and in so far as it might be relevant, the Statute of Limitations.</w:t>
            </w:r>
          </w:p>
          <w:p w:rsidR="002911E8" w:rsidRPr="002911E8" w:rsidRDefault="002911E8" w:rsidP="002911E8">
            <w:r w:rsidRPr="002911E8">
              <w:t>In their reply the plaintiffs joined issue, but in particular pleaded that the allegations contained in par. 21 set out above did not constitute a release or abandonment of the plaintiffs' rights. From the pleadings it can be seen the plaintiffs are claiming they still have vested in them rights over the disputed area, while the defendants are claiming the plaintiffs no longer have any such rights, and that the defendants are vested with the fee simple of the disputed area in virtue of the adverse possession of the defendants and their predecessors in title of lot 36, and that the plaintiffs have abandoned their incorporeal rights over such area.</w:t>
            </w:r>
          </w:p>
          <w:p w:rsidR="002911E8" w:rsidRPr="002911E8" w:rsidRDefault="002911E8" w:rsidP="002911E8">
            <w:r w:rsidRPr="002911E8">
              <w:t xml:space="preserve">The issues </w:t>
            </w:r>
            <w:proofErr w:type="gramStart"/>
            <w:r w:rsidRPr="002911E8">
              <w:t>raise</w:t>
            </w:r>
            <w:proofErr w:type="gramEnd"/>
            <w:r w:rsidRPr="002911E8">
              <w:t xml:space="preserve"> interesting and in some respects difficult questions, both of fact and law. Before proceeding to consider the evidence given by the witnesses, one of the above averments of the defence may be summarily dealt with. Although the defendants averred that they purchased the property known as No. 33 Outlook Drive, which included the disputed area, the contract of sale and purchase bearing date 4 November 1966 and entered into by the defendants was exhibited, and it disclosed that their vendors sold and the defendants purchased lot 36 on lodged plan 6665, being the land comprised in certificate of title volume 3970, folio 961. The transfer of such lot when registered of course carried with it any easements appurtenant to the land, but on the other hand, it did not carry with it any existing possessory rights to any land then alleged to be occupied by the vendors in adverse possession: see Kirk v Sutherland, [1949] VLR 33, at p. 36; [1949] ALR 262. Furthermore, it was conceded by </w:t>
            </w:r>
            <w:proofErr w:type="spellStart"/>
            <w:r w:rsidRPr="002911E8">
              <w:t>Mr.</w:t>
            </w:r>
            <w:proofErr w:type="spellEnd"/>
            <w:r w:rsidRPr="002911E8">
              <w:t xml:space="preserve"> </w:t>
            </w:r>
            <w:proofErr w:type="spellStart"/>
            <w:r w:rsidRPr="002911E8">
              <w:t>Penttila</w:t>
            </w:r>
            <w:proofErr w:type="spellEnd"/>
            <w:r w:rsidRPr="002911E8">
              <w:t xml:space="preserve"> that no such possessory rights were assigned or conveyed by the vendors or anyone else to the defendants: cf. </w:t>
            </w:r>
            <w:proofErr w:type="spellStart"/>
            <w:r w:rsidRPr="002911E8">
              <w:t>Clissold</w:t>
            </w:r>
            <w:proofErr w:type="spellEnd"/>
            <w:r w:rsidRPr="002911E8">
              <w:t xml:space="preserve"> v Perry (1904) 1 CLR 363, at p. 377; [1907] AC 73; Minister for the Army v </w:t>
            </w:r>
            <w:proofErr w:type="spellStart"/>
            <w:r w:rsidRPr="002911E8">
              <w:t>Dalziel</w:t>
            </w:r>
            <w:proofErr w:type="spellEnd"/>
            <w:r w:rsidRPr="002911E8">
              <w:t xml:space="preserve"> (1943) 68 CLR 261, at pp. 285, 290, 299; [1944] ALR 89. As we shall see when the evidence of </w:t>
            </w:r>
            <w:proofErr w:type="spellStart"/>
            <w:r w:rsidRPr="002911E8">
              <w:t>Mr.</w:t>
            </w:r>
            <w:proofErr w:type="spellEnd"/>
            <w:r w:rsidRPr="002911E8">
              <w:t xml:space="preserve"> </w:t>
            </w:r>
            <w:proofErr w:type="spellStart"/>
            <w:r w:rsidRPr="002911E8">
              <w:t>Penttila</w:t>
            </w:r>
            <w:proofErr w:type="spellEnd"/>
            <w:r w:rsidRPr="002911E8">
              <w:t xml:space="preserve"> is examined, some oral arrangement had been made between </w:t>
            </w:r>
            <w:proofErr w:type="spellStart"/>
            <w:r w:rsidRPr="002911E8">
              <w:t>Mr.</w:t>
            </w:r>
            <w:proofErr w:type="spellEnd"/>
            <w:r w:rsidRPr="002911E8">
              <w:t xml:space="preserve"> </w:t>
            </w:r>
            <w:proofErr w:type="spellStart"/>
            <w:r w:rsidRPr="002911E8">
              <w:t>Penttila</w:t>
            </w:r>
            <w:proofErr w:type="spellEnd"/>
            <w:r w:rsidRPr="002911E8">
              <w:t xml:space="preserve"> and one of his vendors, </w:t>
            </w:r>
            <w:proofErr w:type="spellStart"/>
            <w:r w:rsidRPr="002911E8">
              <w:t>Mr.</w:t>
            </w:r>
            <w:proofErr w:type="spellEnd"/>
            <w:r w:rsidRPr="002911E8">
              <w:t xml:space="preserve"> Watts. In my view, even if such arrangement had been made, it can have no operation so to strengthen the defendants' position in these proceedings. They simple acquired lot 36 by their contract</w:t>
            </w:r>
            <w:proofErr w:type="gramStart"/>
            <w:r w:rsidRPr="002911E8">
              <w:t>.[</w:t>
            </w:r>
            <w:proofErr w:type="gramEnd"/>
            <w:r w:rsidRPr="002911E8">
              <w:t xml:space="preserve">His Honour then examined the evidence in detail and continued:--] From Brigadier Moran's evidence, and the endorsements on the certificate of title volume 3970 folio 961, it would appear that the transferee of lot 36 from </w:t>
            </w:r>
            <w:proofErr w:type="spellStart"/>
            <w:r w:rsidRPr="002911E8">
              <w:t>Keam</w:t>
            </w:r>
            <w:proofErr w:type="spellEnd"/>
            <w:r w:rsidRPr="002911E8">
              <w:t xml:space="preserve">, originally, was one Robert Harry Mervyn </w:t>
            </w:r>
            <w:proofErr w:type="spellStart"/>
            <w:r w:rsidRPr="002911E8">
              <w:t>Eltis</w:t>
            </w:r>
            <w:proofErr w:type="spellEnd"/>
            <w:r w:rsidRPr="002911E8">
              <w:t xml:space="preserve"> who became the registered proprietor on 1 February 1916. He died on 26 July 1918 and his executor transferred the lot to Alfred </w:t>
            </w:r>
            <w:proofErr w:type="spellStart"/>
            <w:r w:rsidRPr="002911E8">
              <w:t>Elial</w:t>
            </w:r>
            <w:proofErr w:type="spellEnd"/>
            <w:r w:rsidRPr="002911E8">
              <w:t xml:space="preserve"> </w:t>
            </w:r>
            <w:proofErr w:type="spellStart"/>
            <w:r w:rsidRPr="002911E8">
              <w:t>Pizzey</w:t>
            </w:r>
            <w:proofErr w:type="spellEnd"/>
            <w:r w:rsidRPr="002911E8">
              <w:t xml:space="preserve"> on 19 July 1920. He apparently was the man who was, and had been, in communication with Brigadier Moran. </w:t>
            </w:r>
            <w:proofErr w:type="spellStart"/>
            <w:r w:rsidRPr="002911E8">
              <w:t>Pizzey</w:t>
            </w:r>
            <w:proofErr w:type="spellEnd"/>
            <w:r w:rsidRPr="002911E8">
              <w:t xml:space="preserve"> in turn died on 28 August 1942, and his executors, Thomas George </w:t>
            </w:r>
            <w:proofErr w:type="spellStart"/>
            <w:r w:rsidRPr="002911E8">
              <w:t>Pizzey</w:t>
            </w:r>
            <w:proofErr w:type="spellEnd"/>
            <w:r w:rsidRPr="002911E8">
              <w:t xml:space="preserve"> and Charles </w:t>
            </w:r>
            <w:proofErr w:type="spellStart"/>
            <w:r w:rsidRPr="002911E8">
              <w:t>Elial</w:t>
            </w:r>
            <w:proofErr w:type="spellEnd"/>
            <w:r w:rsidRPr="002911E8">
              <w:t xml:space="preserve"> </w:t>
            </w:r>
            <w:proofErr w:type="spellStart"/>
            <w:r w:rsidRPr="002911E8">
              <w:t>Pizzey</w:t>
            </w:r>
            <w:proofErr w:type="spellEnd"/>
            <w:r w:rsidRPr="002911E8">
              <w:t xml:space="preserve">, by a transmission application, became registered proprietors on 23 July 1943. They transferred the land to Ivy </w:t>
            </w:r>
            <w:proofErr w:type="spellStart"/>
            <w:r w:rsidRPr="002911E8">
              <w:t>Elenor</w:t>
            </w:r>
            <w:proofErr w:type="spellEnd"/>
            <w:r w:rsidRPr="002911E8">
              <w:t xml:space="preserve"> </w:t>
            </w:r>
            <w:proofErr w:type="spellStart"/>
            <w:r w:rsidRPr="002911E8">
              <w:t>Pizzey</w:t>
            </w:r>
            <w:proofErr w:type="spellEnd"/>
            <w:r w:rsidRPr="002911E8">
              <w:t xml:space="preserve"> who, according to Brigadier Moran's evidence, was the wife of Tom </w:t>
            </w:r>
            <w:proofErr w:type="spellStart"/>
            <w:r w:rsidRPr="002911E8">
              <w:t>Pizzey</w:t>
            </w:r>
            <w:proofErr w:type="spellEnd"/>
            <w:r w:rsidRPr="002911E8">
              <w:t xml:space="preserve"> with whom in 1950 he had had the conversation set out above. She in turn transferred the land to Outlook Investments Pty. Ltd. who became registered proprietors on 5 July 1960. A Mr Johnson was apparently occupier after 1960 and it was suggested he was a director of the corporate </w:t>
            </w:r>
            <w:r w:rsidRPr="002911E8">
              <w:lastRenderedPageBreak/>
              <w:t xml:space="preserve">registered proprietor. In 1967 Outlook Investments Pty. Ltd. transferred the land to Herbert William Watts and Patti Leola Watts who became the registered proprietors on 31 March 1967. They apparently had bought the land under contract because the Brigadier gave evidence that when Johnson went out of occupation the property was advertised for sale and he was pleased to see that what was advertised for sale was an allotment 150 feet by 150 feet approximately, which implied, of course, that that vendor, presumably Outlook Investments Pty. Ltd. was selling lot 36 only, and was making no claim to dispose of any proprietary right in the disputed area at the rear of the block which it sought to sell. </w:t>
            </w:r>
            <w:proofErr w:type="spellStart"/>
            <w:r w:rsidRPr="002911E8">
              <w:t>Mr.</w:t>
            </w:r>
            <w:proofErr w:type="spellEnd"/>
            <w:r w:rsidRPr="002911E8">
              <w:t xml:space="preserve"> and </w:t>
            </w:r>
            <w:proofErr w:type="spellStart"/>
            <w:r w:rsidRPr="002911E8">
              <w:t>Mrs.</w:t>
            </w:r>
            <w:proofErr w:type="spellEnd"/>
            <w:r w:rsidRPr="002911E8">
              <w:t xml:space="preserve"> Watts apparently went into occupation until they sold lot 36 under contract of sale bearing date 14 November 1966 referred to already. Finally, the defendants, pursuant to such contract, became the registered proprietors as joint tenants on 31 March 1967, and have been in occupation of the house on lot 36 ever since.[His Honour further considered the evidence and continued:--] It will be seen that the evidence of use of the disputed area since 1928 was very sketchy. It seems somewhat surprising to me that neither party called as witnesses the prior occupiers of lot 36, </w:t>
            </w:r>
            <w:proofErr w:type="spellStart"/>
            <w:r w:rsidRPr="002911E8">
              <w:t>Mr.</w:t>
            </w:r>
            <w:proofErr w:type="spellEnd"/>
            <w:r w:rsidRPr="002911E8">
              <w:t xml:space="preserve"> Watts, or </w:t>
            </w:r>
            <w:proofErr w:type="spellStart"/>
            <w:r w:rsidRPr="002911E8">
              <w:t>Mr.</w:t>
            </w:r>
            <w:proofErr w:type="spellEnd"/>
            <w:r w:rsidRPr="002911E8">
              <w:t xml:space="preserve"> Johnson, both of whom, as I understand it, were available. It is true that </w:t>
            </w:r>
            <w:proofErr w:type="spellStart"/>
            <w:r w:rsidRPr="002911E8">
              <w:t>Mr.</w:t>
            </w:r>
            <w:proofErr w:type="spellEnd"/>
            <w:r w:rsidRPr="002911E8">
              <w:t xml:space="preserve"> Johnson's company was only registered as the proprietor in 1960 but at least it would have been interesting to know whether his company was the transferee of any proprietary rights claimed by </w:t>
            </w:r>
            <w:proofErr w:type="spellStart"/>
            <w:r w:rsidRPr="002911E8">
              <w:t>Mrs.</w:t>
            </w:r>
            <w:proofErr w:type="spellEnd"/>
            <w:r w:rsidRPr="002911E8">
              <w:t xml:space="preserve"> </w:t>
            </w:r>
            <w:proofErr w:type="spellStart"/>
            <w:r w:rsidRPr="002911E8">
              <w:t>Pizzey</w:t>
            </w:r>
            <w:proofErr w:type="spellEnd"/>
            <w:r w:rsidRPr="002911E8">
              <w:t xml:space="preserve">, the transferor, other than lot 36 and "the liberty" granted by </w:t>
            </w:r>
            <w:proofErr w:type="spellStart"/>
            <w:r w:rsidRPr="002911E8">
              <w:t>Keam</w:t>
            </w:r>
            <w:proofErr w:type="spellEnd"/>
            <w:r w:rsidRPr="002911E8">
              <w:t>, or how he regarded his user of the disputed area.</w:t>
            </w:r>
          </w:p>
          <w:p w:rsidR="002911E8" w:rsidRPr="002911E8" w:rsidRDefault="002911E8" w:rsidP="002911E8">
            <w:bookmarkStart w:id="14" w:name="TAACAAF"/>
            <w:bookmarkStart w:id="15" w:name="PAGE_554"/>
            <w:bookmarkEnd w:id="14"/>
            <w:bookmarkEnd w:id="15"/>
            <w:r w:rsidRPr="002911E8">
              <w:rPr>
                <w:i/>
                <w:iCs/>
              </w:rPr>
              <w:t>[1974] VR 547 at 554</w:t>
            </w:r>
          </w:p>
          <w:p w:rsidR="002911E8" w:rsidRPr="002911E8" w:rsidRDefault="002911E8" w:rsidP="002911E8">
            <w:r w:rsidRPr="002911E8">
              <w:t xml:space="preserve">On the other hand, I accept Brigadier Moran's evidence that the original enclosure of the disputed area by </w:t>
            </w:r>
            <w:proofErr w:type="spellStart"/>
            <w:r w:rsidRPr="002911E8">
              <w:t>Pizzey</w:t>
            </w:r>
            <w:proofErr w:type="spellEnd"/>
            <w:r w:rsidRPr="002911E8">
              <w:t xml:space="preserve"> was not intended by </w:t>
            </w:r>
            <w:proofErr w:type="spellStart"/>
            <w:r w:rsidRPr="002911E8">
              <w:t>Pizzey</w:t>
            </w:r>
            <w:proofErr w:type="spellEnd"/>
            <w:r w:rsidRPr="002911E8">
              <w:t xml:space="preserve"> to be an alienation of the disputed area from the reserve. Accordingly, it was never intended to be adverse to the registered proprietor. The proper inference to draw from Brigadier Moran's evidence was that </w:t>
            </w:r>
            <w:proofErr w:type="spellStart"/>
            <w:r w:rsidRPr="002911E8">
              <w:t>Pizzey</w:t>
            </w:r>
            <w:proofErr w:type="spellEnd"/>
            <w:r w:rsidRPr="002911E8">
              <w:t xml:space="preserve"> was seeking to exploit the full benefit of the liberty given to him and other lot owners by erecting, and enclosing with, a typical fence, with gates at each end, a tennis court for the recreation of all lot-holders, promising Brigadier Moran that he could, when he was available, use the court. The Brigadier stated and I accept that he intended to avail himself of that promise if and when he built his residence on lot 39.</w:t>
            </w:r>
          </w:p>
          <w:p w:rsidR="002911E8" w:rsidRPr="002911E8" w:rsidRDefault="002911E8" w:rsidP="002911E8">
            <w:bookmarkStart w:id="16" w:name="TAACAAG"/>
            <w:bookmarkStart w:id="17" w:name="PAGE_555"/>
            <w:bookmarkEnd w:id="16"/>
            <w:bookmarkEnd w:id="17"/>
            <w:r w:rsidRPr="002911E8">
              <w:rPr>
                <w:i/>
                <w:iCs/>
              </w:rPr>
              <w:t>[1974] VR 547 at 555</w:t>
            </w:r>
          </w:p>
          <w:p w:rsidR="002911E8" w:rsidRPr="002911E8" w:rsidRDefault="002911E8" w:rsidP="002911E8">
            <w:r w:rsidRPr="002911E8">
              <w:t xml:space="preserve">Because of his absence from the area, followed by failing health, and possibly by the </w:t>
            </w:r>
            <w:proofErr w:type="spellStart"/>
            <w:r w:rsidRPr="002911E8">
              <w:t>effluxion</w:t>
            </w:r>
            <w:proofErr w:type="spellEnd"/>
            <w:r w:rsidRPr="002911E8">
              <w:t xml:space="preserve"> of time, and the condition of the court in 1956, Brigadier Moran was never able to take advantage of the promise given to him, and therefore there was never any occasion for him to assert his rights in relation thereto. But on the balance of probabilities I find that </w:t>
            </w:r>
            <w:proofErr w:type="spellStart"/>
            <w:r w:rsidRPr="002911E8">
              <w:t>Pizzey</w:t>
            </w:r>
            <w:proofErr w:type="spellEnd"/>
            <w:r w:rsidRPr="002911E8">
              <w:t xml:space="preserve">, in building the tennis court and erecting the fence around the disputed area, was not seeking to take possession of that area adverse to the registered proprietor. </w:t>
            </w:r>
            <w:proofErr w:type="spellStart"/>
            <w:r w:rsidRPr="002911E8">
              <w:t>Pizzey</w:t>
            </w:r>
            <w:proofErr w:type="spellEnd"/>
            <w:r w:rsidRPr="002911E8">
              <w:t xml:space="preserve"> had sought the consent of the grantees like Brigadier Moran to use the reserve to erect a fence which might interfere with their enjoyment and their "liberty". It would be unlikely that </w:t>
            </w:r>
            <w:proofErr w:type="spellStart"/>
            <w:r w:rsidRPr="002911E8">
              <w:t>Keam</w:t>
            </w:r>
            <w:proofErr w:type="spellEnd"/>
            <w:r w:rsidRPr="002911E8">
              <w:t xml:space="preserve"> once he sold all lots in the estate would be very astute to protect his registered proprietary rights. By that time many people would have the right of enjoyment of the area, whatever it was, and it would only be his duty not to do anything that would derogate from his grant to each transferee of the "liberty" created. I do not accept </w:t>
            </w:r>
            <w:proofErr w:type="spellStart"/>
            <w:r w:rsidRPr="002911E8">
              <w:t>Mr.</w:t>
            </w:r>
            <w:proofErr w:type="spellEnd"/>
            <w:r w:rsidRPr="002911E8">
              <w:t xml:space="preserve"> Waldron's submission that </w:t>
            </w:r>
            <w:proofErr w:type="spellStart"/>
            <w:r w:rsidRPr="002911E8">
              <w:t>Pizzey</w:t>
            </w:r>
            <w:proofErr w:type="spellEnd"/>
            <w:r w:rsidRPr="002911E8">
              <w:t xml:space="preserve"> also probably obtained </w:t>
            </w:r>
            <w:proofErr w:type="spellStart"/>
            <w:r w:rsidRPr="002911E8">
              <w:t>Keam's</w:t>
            </w:r>
            <w:proofErr w:type="spellEnd"/>
            <w:r w:rsidRPr="002911E8">
              <w:t xml:space="preserve"> consent to enclose the disputed area. </w:t>
            </w:r>
            <w:proofErr w:type="spellStart"/>
            <w:r w:rsidRPr="002911E8">
              <w:t>Keam</w:t>
            </w:r>
            <w:proofErr w:type="spellEnd"/>
            <w:r w:rsidRPr="002911E8">
              <w:t xml:space="preserve"> would not be expected to be in actual occupation of the reserve and there is no information as to who was rated or who was regarded as the occupier of the reserve. Indeed, a feature of the scheme appeared to be </w:t>
            </w:r>
            <w:r w:rsidRPr="002911E8">
              <w:lastRenderedPageBreak/>
              <w:t xml:space="preserve">that on selling all lots </w:t>
            </w:r>
            <w:proofErr w:type="spellStart"/>
            <w:r w:rsidRPr="002911E8">
              <w:t>Keam</w:t>
            </w:r>
            <w:proofErr w:type="spellEnd"/>
            <w:r w:rsidRPr="002911E8">
              <w:t xml:space="preserve"> intended to hand over the power to legislate the rules and regulations for control of the reserve to the lot holders themselves.</w:t>
            </w:r>
          </w:p>
          <w:p w:rsidR="002911E8" w:rsidRPr="002911E8" w:rsidRDefault="002911E8" w:rsidP="002911E8">
            <w:r w:rsidRPr="002911E8">
              <w:t xml:space="preserve">I am satisfied that early in the history of the subdivision, probably because few houses were erected and fences were provided to keep people out, the reserve was used as a dumping ground for rubbish, but as the lots were gradually built upon efforts were made by the then occupiers of the houses to keep the area reasonably neat and tidy, and I believe efforts were made to clear the reserve and this was ostensibly done for the purpose of providing an area for recreation by the local residents of the lots. I would readily assume that not one registered owner of the lots would use or seek to use every square inch of the reserve. The failure to do so could not be construed as abandoning any portion of his privilege. He would naturally be expected to use that portion of the reserve most convenient to his own property. In fact, very few of the lot owners were living on the property at the very early period and, therefore, would suffer very little inconvenience to the exercise of their "liberty" at the time when </w:t>
            </w:r>
            <w:proofErr w:type="spellStart"/>
            <w:r w:rsidRPr="002911E8">
              <w:t>Pizzey</w:t>
            </w:r>
            <w:proofErr w:type="spellEnd"/>
            <w:r w:rsidRPr="002911E8">
              <w:t xml:space="preserve"> senior enclosed the tennis court. Because of this, and the possession of lots 35 and 36, all under garden, there probably would be no occasion for any other lot holders either to enter the disputed area or otherwise assert their rights over the disputed area. It would appear that when </w:t>
            </w:r>
            <w:proofErr w:type="spellStart"/>
            <w:r w:rsidRPr="002911E8">
              <w:t>Mr.</w:t>
            </w:r>
            <w:proofErr w:type="spellEnd"/>
            <w:r w:rsidRPr="002911E8">
              <w:t xml:space="preserve"> </w:t>
            </w:r>
            <w:proofErr w:type="spellStart"/>
            <w:r w:rsidRPr="002911E8">
              <w:t>Penttila</w:t>
            </w:r>
            <w:proofErr w:type="spellEnd"/>
            <w:r w:rsidRPr="002911E8">
              <w:t xml:space="preserve"> sought to assert the right, without permission of the registered proprietors of the lots, to build a permanent swimming pool, followed by correspondence which showed he intended to claim title and negative their liberty to enter the land, </w:t>
            </w:r>
            <w:proofErr w:type="gramStart"/>
            <w:r w:rsidRPr="002911E8">
              <w:t>then</w:t>
            </w:r>
            <w:proofErr w:type="gramEnd"/>
            <w:r w:rsidRPr="002911E8">
              <w:t xml:space="preserve"> the plaintiffs were stirred into action. Their "liberties" were threatened. Because of the absence of the notification on their certificates of title of any "liberty" as granted to their predecessors in title, I am not satisfied that the plaintiffs, George William Brown, Marion </w:t>
            </w:r>
            <w:proofErr w:type="spellStart"/>
            <w:r w:rsidRPr="002911E8">
              <w:t>Eveleen</w:t>
            </w:r>
            <w:proofErr w:type="spellEnd"/>
            <w:r w:rsidRPr="002911E8">
              <w:t xml:space="preserve"> Brown, John </w:t>
            </w:r>
            <w:proofErr w:type="spellStart"/>
            <w:r w:rsidRPr="002911E8">
              <w:t>Aitchison</w:t>
            </w:r>
            <w:proofErr w:type="spellEnd"/>
            <w:r w:rsidRPr="002911E8">
              <w:t xml:space="preserve"> Campbell and Linda Ethel Campbell, took a transfer of the "liberty" granted by </w:t>
            </w:r>
            <w:proofErr w:type="spellStart"/>
            <w:r w:rsidRPr="002911E8">
              <w:t>Keam</w:t>
            </w:r>
            <w:proofErr w:type="spellEnd"/>
            <w:r w:rsidRPr="002911E8">
              <w:t xml:space="preserve"> to the original transferees of lots 30 and 31. It would appear that these two lots subsequently were subdivided, again into two lots but with different dimensions. On the issue of the new certificates of title in relation to the two new lots, no mention was made therein of the liberty granted to their predecessors. No explanation for this omission was given by these plaintiffs, and, accordingly, I must assume that in their instruments of transfer they did not take a transfer of the "liberty" granted by </w:t>
            </w:r>
            <w:proofErr w:type="spellStart"/>
            <w:r w:rsidRPr="002911E8">
              <w:t>Keam</w:t>
            </w:r>
            <w:proofErr w:type="spellEnd"/>
            <w:r w:rsidRPr="002911E8">
              <w:t>. But as I have already pointed out it is accepted by counsel for both sides that if one plaintiff is successful in establishing a claim against the defendants, it would be sufficient to defeat the defendants' claim to use the disputed area as if they were the owners in fee simple thereof.</w:t>
            </w:r>
          </w:p>
          <w:p w:rsidR="002911E8" w:rsidRPr="002911E8" w:rsidRDefault="002911E8" w:rsidP="002911E8">
            <w:bookmarkStart w:id="18" w:name="TAACAAH"/>
            <w:bookmarkStart w:id="19" w:name="PAGE_556"/>
            <w:bookmarkEnd w:id="18"/>
            <w:bookmarkEnd w:id="19"/>
            <w:r w:rsidRPr="002911E8">
              <w:rPr>
                <w:i/>
                <w:iCs/>
              </w:rPr>
              <w:t>[1974] VR 547 at 556</w:t>
            </w:r>
          </w:p>
          <w:p w:rsidR="002911E8" w:rsidRPr="002911E8" w:rsidRDefault="002911E8" w:rsidP="002911E8">
            <w:r w:rsidRPr="002911E8">
              <w:t>Three questions emerge for determination:--</w:t>
            </w:r>
          </w:p>
          <w:p w:rsidR="002911E8" w:rsidRPr="002911E8" w:rsidRDefault="002911E8" w:rsidP="002911E8">
            <w:r w:rsidRPr="002911E8">
              <w:t xml:space="preserve">(a) What was the nature of the right or liberty granted by </w:t>
            </w:r>
            <w:proofErr w:type="spellStart"/>
            <w:r w:rsidRPr="002911E8">
              <w:t>Keam</w:t>
            </w:r>
            <w:proofErr w:type="spellEnd"/>
            <w:r w:rsidRPr="002911E8">
              <w:t xml:space="preserve"> to his transferees?</w:t>
            </w:r>
          </w:p>
          <w:p w:rsidR="002911E8" w:rsidRPr="002911E8" w:rsidRDefault="002911E8" w:rsidP="002911E8">
            <w:r w:rsidRPr="002911E8">
              <w:t>(b) Are the defendants entitled to be registered as the proprietor of the disputed area?</w:t>
            </w:r>
          </w:p>
          <w:p w:rsidR="002911E8" w:rsidRPr="002911E8" w:rsidRDefault="002911E8" w:rsidP="002911E8">
            <w:r w:rsidRPr="002911E8">
              <w:t>(c) Do any and which of the plaintiffs have any and what right at the present time over the disputed land?</w:t>
            </w:r>
          </w:p>
          <w:p w:rsidR="002911E8" w:rsidRPr="002911E8" w:rsidRDefault="002911E8" w:rsidP="002911E8">
            <w:r w:rsidRPr="002911E8">
              <w:t>The last question may be worded in the alternative in this way. Assuming the right to be in the nature of an easement, (</w:t>
            </w:r>
            <w:proofErr w:type="spellStart"/>
            <w:r w:rsidRPr="002911E8">
              <w:t>i</w:t>
            </w:r>
            <w:proofErr w:type="spellEnd"/>
            <w:r w:rsidRPr="002911E8">
              <w:t xml:space="preserve">) has the easement been impliedly released or abandoned </w:t>
            </w:r>
            <w:proofErr w:type="spellStart"/>
            <w:r w:rsidRPr="002911E8">
              <w:t>quoad</w:t>
            </w:r>
            <w:proofErr w:type="spellEnd"/>
            <w:r w:rsidRPr="002911E8">
              <w:t xml:space="preserve"> </w:t>
            </w:r>
            <w:proofErr w:type="spellStart"/>
            <w:r w:rsidRPr="002911E8">
              <w:t>Keam</w:t>
            </w:r>
            <w:proofErr w:type="spellEnd"/>
            <w:r w:rsidRPr="002911E8">
              <w:t xml:space="preserve">, </w:t>
            </w:r>
            <w:proofErr w:type="spellStart"/>
            <w:r w:rsidRPr="002911E8">
              <w:t>quoad</w:t>
            </w:r>
            <w:proofErr w:type="spellEnd"/>
            <w:r w:rsidRPr="002911E8">
              <w:t xml:space="preserve"> the defendants? (ii) </w:t>
            </w:r>
            <w:proofErr w:type="gramStart"/>
            <w:r w:rsidRPr="002911E8">
              <w:t>has</w:t>
            </w:r>
            <w:proofErr w:type="gramEnd"/>
            <w:r w:rsidRPr="002911E8">
              <w:t xml:space="preserve"> the easement been otherwise extinguished? (iii) </w:t>
            </w:r>
            <w:proofErr w:type="gramStart"/>
            <w:r w:rsidRPr="002911E8">
              <w:t>despite</w:t>
            </w:r>
            <w:proofErr w:type="gramEnd"/>
            <w:r w:rsidRPr="002911E8">
              <w:t xml:space="preserve"> any proof of abandonment or extinguishment, what is the effect of the right still appearing on the certificate of </w:t>
            </w:r>
            <w:r w:rsidRPr="002911E8">
              <w:lastRenderedPageBreak/>
              <w:t xml:space="preserve">title of each of the plaintiffs, other than the Browns and the </w:t>
            </w:r>
            <w:proofErr w:type="spellStart"/>
            <w:r w:rsidRPr="002911E8">
              <w:t>Campbells</w:t>
            </w:r>
            <w:proofErr w:type="spellEnd"/>
            <w:r w:rsidRPr="002911E8">
              <w:t>?</w:t>
            </w:r>
          </w:p>
          <w:p w:rsidR="002911E8" w:rsidRPr="002911E8" w:rsidRDefault="002911E8" w:rsidP="002911E8">
            <w:r w:rsidRPr="002911E8">
              <w:t>If any plaintiff's right should be established against the defendants, then there may be an ancillary question as to his entitlement to relief claimed by him. The defendants, it will be remembered, have pleaded both laches and acquiescence.</w:t>
            </w:r>
          </w:p>
          <w:p w:rsidR="002911E8" w:rsidRPr="002911E8" w:rsidRDefault="002911E8" w:rsidP="002911E8">
            <w:r w:rsidRPr="002911E8">
              <w:t>(1) LIBERTY TO USE AND ENJOY THE RESERVE</w:t>
            </w:r>
          </w:p>
          <w:p w:rsidR="002911E8" w:rsidRPr="002911E8" w:rsidRDefault="002911E8" w:rsidP="002911E8">
            <w:r w:rsidRPr="002911E8">
              <w:t xml:space="preserve">It was submitted on behalf of the defendants that the grant was </w:t>
            </w:r>
            <w:proofErr w:type="gramStart"/>
            <w:r w:rsidRPr="002911E8">
              <w:t>so</w:t>
            </w:r>
            <w:proofErr w:type="gramEnd"/>
            <w:r w:rsidRPr="002911E8">
              <w:t xml:space="preserve"> indefinite, indeterminate and uncertain as to be unenforceable as an easement: cf. </w:t>
            </w:r>
            <w:proofErr w:type="spellStart"/>
            <w:r w:rsidRPr="002911E8">
              <w:t>Pwllbach</w:t>
            </w:r>
            <w:proofErr w:type="spellEnd"/>
            <w:r w:rsidRPr="002911E8">
              <w:t xml:space="preserve"> Colliery Co. Ltd. v Woodman, [1915] AC 634, at p. 649 per Lord Sumner; [1914-15] All ER Rep 124. At most it was said it was a licence granted to the original transferee and was never intended to be appurtenant to the proprietary right transferred by </w:t>
            </w:r>
            <w:proofErr w:type="spellStart"/>
            <w:r w:rsidRPr="002911E8">
              <w:t>Keam</w:t>
            </w:r>
            <w:proofErr w:type="spellEnd"/>
            <w:r w:rsidRPr="002911E8">
              <w:t xml:space="preserve"> of each allotment. First it was pointed out there were a variety of descriptions in the grant. In some cases "the liberty" to use the reserve was to be enjoyed with the registered proprietors of lots 23 to 44 and in others 27 to 41. The rights to make rules and regulations were given to a majority of those lot holders after all the lots had been transferred. Where there was this variation in the number of lot holders no regulations could validly be made to cover all lots. But </w:t>
            </w:r>
            <w:proofErr w:type="spellStart"/>
            <w:r w:rsidRPr="002911E8">
              <w:t>Keam</w:t>
            </w:r>
            <w:proofErr w:type="spellEnd"/>
            <w:r w:rsidRPr="002911E8">
              <w:t xml:space="preserve"> made no rules and regulations. His grant could not depend on the issue of rules by him and would be quite unaffected by his failure to make rules. The grant to each plaintiff was made subject to such rules and regulations as are specified in the instruments of transfer to the predecessor of such plaintiff. But if there were no rules and regulations made, the grant to such plaintiff would not be affected by such absence. It simply meant that the grant was made to each transferee and, in terms, was quite unequivocal as to the right or privilege to use the reserve. It simply meant that the grant was not qualified until rules were made by the specified person or persons to regulate the control of the reserve. But it was urged that to make a grant an effective one it must be controlled by rules. I cannot accept this submission. The only possible qualification of the grant was that the enjoyment was to be shared, and therefore, the enjoyment should be of a reasonable character. The grant in relation to any plaintiff must be considered with respect to "the liberty" being more limited in some cases than in others, in that the number of persons with whom the liberty is to be shared may be expressed to be greater in some than in the other cases. But each plaintiff's right must be considered separately. I repeat, although this is a joint action, it is really some 17 or 18 actions heard together, and each plaintiff's grant must be interpreted in the light of that fact. A grant to a particular plaintiff cannot be affected by the fact that a grant to another plaintiff may be different.</w:t>
            </w:r>
          </w:p>
          <w:p w:rsidR="002911E8" w:rsidRPr="002911E8" w:rsidRDefault="002911E8" w:rsidP="002911E8">
            <w:bookmarkStart w:id="20" w:name="TAACAAI"/>
            <w:bookmarkStart w:id="21" w:name="PAGE_557"/>
            <w:bookmarkEnd w:id="20"/>
            <w:bookmarkEnd w:id="21"/>
            <w:r w:rsidRPr="002911E8">
              <w:rPr>
                <w:i/>
                <w:iCs/>
              </w:rPr>
              <w:t>[1974] VR 547 at 557</w:t>
            </w:r>
          </w:p>
          <w:p w:rsidR="002911E8" w:rsidRPr="002911E8" w:rsidRDefault="002911E8" w:rsidP="002911E8">
            <w:r w:rsidRPr="002911E8">
              <w:t>So far as the disputed land was concerned, Brigadier Moran and the predecessors of each of the other plaintiffs were granted the "liberty" to use the disputed area as a part of the defined area of the reserve.</w:t>
            </w:r>
          </w:p>
          <w:p w:rsidR="002911E8" w:rsidRPr="002911E8" w:rsidRDefault="002911E8" w:rsidP="002911E8">
            <w:r w:rsidRPr="002911E8">
              <w:t xml:space="preserve">It was then submitted that the grant lacked the characteristics of an easement. In Cheshire's Modern Law of Real Property, 11th ed., p. 503, it is pointed out there are four characteristics that must be present to constitute an easement. First, there must be a dominant and a </w:t>
            </w:r>
            <w:proofErr w:type="spellStart"/>
            <w:r w:rsidRPr="002911E8">
              <w:t>servient</w:t>
            </w:r>
            <w:proofErr w:type="spellEnd"/>
            <w:r w:rsidRPr="002911E8">
              <w:t xml:space="preserve"> tenement; secondly, an easement must accommodate the dominant tenement; thirdly, the dominant and </w:t>
            </w:r>
            <w:proofErr w:type="spellStart"/>
            <w:r w:rsidRPr="002911E8">
              <w:t>servient</w:t>
            </w:r>
            <w:proofErr w:type="spellEnd"/>
            <w:r w:rsidRPr="002911E8">
              <w:t xml:space="preserve"> owners must be different persons; fourthly, a right over land cannot amount to an easement unless it is capable of forming the subject-matter of a grant. Now in this case the first and third characteristics are present, but it was submitted by the defendants that the second and fourth </w:t>
            </w:r>
            <w:r w:rsidRPr="002911E8">
              <w:lastRenderedPageBreak/>
              <w:t xml:space="preserve">features were missing. Despite </w:t>
            </w:r>
            <w:proofErr w:type="spellStart"/>
            <w:r w:rsidRPr="002911E8">
              <w:t>Mr.</w:t>
            </w:r>
            <w:proofErr w:type="spellEnd"/>
            <w:r w:rsidRPr="002911E8">
              <w:t xml:space="preserve"> </w:t>
            </w:r>
            <w:proofErr w:type="spellStart"/>
            <w:r w:rsidRPr="002911E8">
              <w:t>Waldrons's</w:t>
            </w:r>
            <w:proofErr w:type="spellEnd"/>
            <w:r w:rsidRPr="002911E8">
              <w:t xml:space="preserve"> attempt to distinguish the case and to emphasize the features in that case not present in the present proceedings, these submissions fly in the face of the decision of the Court of Appeal in Re Ellenborough Park, [1956] </w:t>
            </w:r>
            <w:proofErr w:type="spellStart"/>
            <w:r w:rsidRPr="002911E8">
              <w:t>Ch</w:t>
            </w:r>
            <w:proofErr w:type="spellEnd"/>
            <w:r w:rsidRPr="002911E8">
              <w:t xml:space="preserve"> 131; [1955] 3 All ER 667; see also George Wimpey and Co. Ltd. v </w:t>
            </w:r>
            <w:proofErr w:type="spellStart"/>
            <w:r w:rsidRPr="002911E8">
              <w:t>Sohn</w:t>
            </w:r>
            <w:proofErr w:type="spellEnd"/>
            <w:r w:rsidRPr="002911E8">
              <w:t xml:space="preserve">, [1967] </w:t>
            </w:r>
            <w:proofErr w:type="spellStart"/>
            <w:r w:rsidRPr="002911E8">
              <w:t>Ch</w:t>
            </w:r>
            <w:proofErr w:type="spellEnd"/>
            <w:r w:rsidRPr="002911E8">
              <w:t xml:space="preserve"> 487; [1966] 1 All ER 232. In Commonwealth v Registrar of Titles (1918) 24 CLR 348, at p. 353; 24 ALR 106, Griffith, CJ, said: "As long ago as 1852 Lord St. Leonards said in Dyce v Hay, 1 </w:t>
            </w:r>
            <w:proofErr w:type="spellStart"/>
            <w:r w:rsidRPr="002911E8">
              <w:t>Macq</w:t>
            </w:r>
            <w:proofErr w:type="spellEnd"/>
            <w:r w:rsidRPr="002911E8">
              <w:t xml:space="preserve"> HL at 312: "The category of servitudes and easements must alter and expand with the changes that take place in the circumstances of mankind.'" (see also Attorney-General of Southern Nigeria v John Holt and Co. (Liverpool) Ltd., [1915] AC 599, at p. 617; [1914-15] All ER Rep 444; Ward v Kirkland, [1967] </w:t>
            </w:r>
            <w:proofErr w:type="spellStart"/>
            <w:r w:rsidRPr="002911E8">
              <w:t>Ch</w:t>
            </w:r>
            <w:proofErr w:type="spellEnd"/>
            <w:r w:rsidRPr="002911E8">
              <w:t xml:space="preserve"> 194, at p. 222; [1966] 1 All ER 609.) This view was adopted by the Court of Appeal in the Court of Appeal in the Ellenborough Park Case, when, as here, a challenge was made to the grant to use a pleasure ground, in that two characteristics were alleged to be missing. In that case in a building scheme the vendor had granted "also the full enjoyment...at all times hereafter in common with the other persons to whom such easements may be granted of the pleasure ground...but subject to the payment of a fair and just proportion of the costs charges and expenses of keeping in good order and condition the pleasure ground". It was said there the right granted was too wide and vague and constituted mere rights of recreation to people possessing no quality or utility to the land conveyed to the grantees. A similar argument has been advanced in the present case for the defendants. But for the reasons given by the Court of Appeal for rejecting that argument in the Ellenborough Park Case, so I reject the argument here. First, the grant here is in much more explicit terms than in the Ellenborough Park Case. In my opinion, there is greater certainty to be assigned to the expression "the liberty to enjoy the reserve for the purpose of recreation or a garden or a park" than the expression "full enjoyment of a pleasure ground", particularly where the metes and bounds of the reserve are so explicitly set out in the lodged plan. As a matter of interpretation, the Court of Appeal said that what was granted by the use of the words "enjoyment of a pleasure ground" was impliedly for the purpose of the grantees enjoying a large private garden with their modest curtilages around their houses. No such implication is required to be drawn in the present case. The purposes of the grant are clearly stated. "The liberty" was given in respect of each of the lots on the registered plan of subdivision in relation to the reserve clearly defined on such plan of subdivision, and unlike the Ellenborough Park Case, the lots of the plaintiffs, other than of the </w:t>
            </w:r>
            <w:proofErr w:type="spellStart"/>
            <w:r w:rsidRPr="002911E8">
              <w:t>Campbells</w:t>
            </w:r>
            <w:proofErr w:type="spellEnd"/>
            <w:r w:rsidRPr="002911E8">
              <w:t xml:space="preserve"> and the Browns, abutted onto the reserve proper and had obvious scope for enjoyment as a garden or a park or any form of recreation appurtenant to the occupation of the lots transferred. Indeed, </w:t>
            </w:r>
            <w:proofErr w:type="spellStart"/>
            <w:r w:rsidRPr="002911E8">
              <w:t>Mr.</w:t>
            </w:r>
            <w:proofErr w:type="spellEnd"/>
            <w:r w:rsidRPr="002911E8">
              <w:t xml:space="preserve"> </w:t>
            </w:r>
            <w:proofErr w:type="spellStart"/>
            <w:r w:rsidRPr="002911E8">
              <w:t>Pizzey</w:t>
            </w:r>
            <w:proofErr w:type="spellEnd"/>
            <w:r w:rsidRPr="002911E8">
              <w:t xml:space="preserve"> senior showed how the right could be enjoyed with an occupation of a lot. Other lot holders, as Brigadier Moran pointed out in his evidence, did not erect rear fences to cut off their lots from the reserve. There was a clear physical connexion between the right over the Reserve and the premises of the relevant house owners. The use of the Reserve for specified purposes accommodated and served the lots abutting onto the reserve. To adopt the words of </w:t>
            </w:r>
            <w:proofErr w:type="spellStart"/>
            <w:r w:rsidRPr="002911E8">
              <w:t>Romer</w:t>
            </w:r>
            <w:proofErr w:type="spellEnd"/>
            <w:r w:rsidRPr="002911E8">
              <w:t xml:space="preserve">, LJ, in Miller v </w:t>
            </w:r>
            <w:proofErr w:type="spellStart"/>
            <w:r w:rsidRPr="002911E8">
              <w:t>Emcer</w:t>
            </w:r>
            <w:proofErr w:type="spellEnd"/>
            <w:r w:rsidRPr="002911E8">
              <w:t xml:space="preserve"> Products Ltd., [1956] </w:t>
            </w:r>
            <w:proofErr w:type="spellStart"/>
            <w:r w:rsidRPr="002911E8">
              <w:t>Ch</w:t>
            </w:r>
            <w:proofErr w:type="spellEnd"/>
            <w:r w:rsidRPr="002911E8">
              <w:t xml:space="preserve"> 304, at p. 316;[1956] 1 All ER 237:--</w:t>
            </w:r>
          </w:p>
          <w:p w:rsidR="002911E8" w:rsidRPr="002911E8" w:rsidRDefault="002911E8" w:rsidP="002911E8">
            <w:r w:rsidRPr="002911E8">
              <w:t xml:space="preserve">"There is no doubt as to what was intended to be the dominant and </w:t>
            </w:r>
            <w:proofErr w:type="spellStart"/>
            <w:r w:rsidRPr="002911E8">
              <w:t>servient</w:t>
            </w:r>
            <w:proofErr w:type="spellEnd"/>
            <w:r w:rsidRPr="002911E8">
              <w:t xml:space="preserve"> tenements respectively and the right was appurtenant to the former and calculated to enhance its beneficial use and enjoyment."</w:t>
            </w:r>
          </w:p>
          <w:p w:rsidR="002911E8" w:rsidRPr="002911E8" w:rsidRDefault="002911E8" w:rsidP="002911E8">
            <w:bookmarkStart w:id="22" w:name="TAACAAJ"/>
            <w:bookmarkStart w:id="23" w:name="PAGE_558"/>
            <w:bookmarkEnd w:id="22"/>
            <w:bookmarkEnd w:id="23"/>
            <w:r w:rsidRPr="002911E8">
              <w:rPr>
                <w:i/>
                <w:iCs/>
              </w:rPr>
              <w:t>[1974] VR 547 at 558</w:t>
            </w:r>
          </w:p>
          <w:p w:rsidR="002911E8" w:rsidRPr="002911E8" w:rsidRDefault="002911E8" w:rsidP="002911E8">
            <w:r w:rsidRPr="002911E8">
              <w:t xml:space="preserve">Secondly, the Court of Appeal noticed that the position of the grant of the use of the pleasure </w:t>
            </w:r>
            <w:r w:rsidRPr="002911E8">
              <w:lastRenderedPageBreak/>
              <w:t xml:space="preserve">ground in the conveyance followed immediately after the grant of the easements of way and drainage. In the original transfers from </w:t>
            </w:r>
            <w:proofErr w:type="spellStart"/>
            <w:r w:rsidRPr="002911E8">
              <w:t>Keam</w:t>
            </w:r>
            <w:proofErr w:type="spellEnd"/>
            <w:r w:rsidRPr="002911E8">
              <w:t xml:space="preserve"> a similar position obtained in this case. It is true, as </w:t>
            </w:r>
            <w:proofErr w:type="spellStart"/>
            <w:r w:rsidRPr="002911E8">
              <w:t>Mr.</w:t>
            </w:r>
            <w:proofErr w:type="spellEnd"/>
            <w:r w:rsidRPr="002911E8">
              <w:t xml:space="preserve"> Waldron was at pains to point out, in the Ellenborough Park Case, the right was expressed to be enjoyed "with the other persons to whom such easements may be granted" thereby indicating that the grantor intended by the expression to create an easement. While this might have some effect on their Lordships' interpretation of the provision, nevertheless the descriptive words of the grant could not convert into an easement what was never an easement in law, because of, say, the absence of one of the features referred to above.</w:t>
            </w:r>
          </w:p>
          <w:p w:rsidR="002911E8" w:rsidRPr="002911E8" w:rsidRDefault="002911E8" w:rsidP="002911E8">
            <w:r w:rsidRPr="002911E8">
              <w:t xml:space="preserve">Thirdly, although in the Court of Appeal decision it was accepted that because of the nature of the covenant entered into by the vendor there could be implied a restrictive covenant imposed upon the owner as to his user of the pleasure ground, and accordingly, the benefit and burden of such covenant would run with the land, nevertheless, in this case, by the instrument of transfer </w:t>
            </w:r>
            <w:proofErr w:type="spellStart"/>
            <w:r w:rsidRPr="002911E8">
              <w:t>Keam</w:t>
            </w:r>
            <w:proofErr w:type="spellEnd"/>
            <w:r w:rsidRPr="002911E8">
              <w:t xml:space="preserve"> expressly granted the privilege to his named transferee "his heirs executors administrators and transferees registered proprietor or proprietors for the time being of lots numbered so and so and his and their tenants". These words, so far as they could go, indicated that the right was not intended by </w:t>
            </w:r>
            <w:proofErr w:type="spellStart"/>
            <w:r w:rsidRPr="002911E8">
              <w:t>Keam</w:t>
            </w:r>
            <w:proofErr w:type="spellEnd"/>
            <w:r w:rsidRPr="002911E8">
              <w:t xml:space="preserve"> to be restricted to and personal to the transferee, but was also intended to benefit the successors in title of the lot transferred. On the other hand, there was no suggestion in the building scheme that </w:t>
            </w:r>
            <w:proofErr w:type="spellStart"/>
            <w:r w:rsidRPr="002911E8">
              <w:t>Keam</w:t>
            </w:r>
            <w:proofErr w:type="spellEnd"/>
            <w:r w:rsidRPr="002911E8">
              <w:t xml:space="preserve"> intended to dispose of the fee simple of the reserve. And the creation of each easement was noted on his title. Having regard to the verbiage of the instrument of transfer by </w:t>
            </w:r>
            <w:proofErr w:type="spellStart"/>
            <w:r w:rsidRPr="002911E8">
              <w:t>Keam</w:t>
            </w:r>
            <w:proofErr w:type="spellEnd"/>
            <w:r w:rsidRPr="002911E8">
              <w:t xml:space="preserve"> the grant was intended not for use only of the transferee personally, but was intended to be useful and accommodating to the occupation of the lot transferred</w:t>
            </w:r>
          </w:p>
          <w:p w:rsidR="002911E8" w:rsidRPr="002911E8" w:rsidRDefault="002911E8" w:rsidP="002911E8">
            <w:bookmarkStart w:id="24" w:name="TAACAAK"/>
            <w:bookmarkStart w:id="25" w:name="PAGE_559"/>
            <w:bookmarkEnd w:id="24"/>
            <w:bookmarkEnd w:id="25"/>
            <w:r w:rsidRPr="002911E8">
              <w:rPr>
                <w:i/>
                <w:iCs/>
              </w:rPr>
              <w:t>[1974] VR 547 at 559</w:t>
            </w:r>
          </w:p>
          <w:p w:rsidR="002911E8" w:rsidRPr="002911E8" w:rsidRDefault="002911E8" w:rsidP="002911E8">
            <w:r w:rsidRPr="002911E8">
              <w:t>The Court of Appeal pointed out it was a question of fact whether or not the right conferred was connected with the normal enjoyment of the property. Having heard how the reserve was and is being used and of its potentiality for the enjoyment of local residents entitled to use it in the future, I am satisfied there was a direct nexus between the right and the occupation and enjoyment of the lots transferred. It was and is useful and accommodating to the occupation of the lots transferred.</w:t>
            </w:r>
          </w:p>
          <w:p w:rsidR="002911E8" w:rsidRPr="002911E8" w:rsidRDefault="002911E8" w:rsidP="002911E8">
            <w:r w:rsidRPr="002911E8">
              <w:t xml:space="preserve">Turning to the other characteristic alleged to be missing, Cheshire at p. 506 stated: "Every easement must originate in a grant, </w:t>
            </w:r>
            <w:proofErr w:type="gramStart"/>
            <w:r w:rsidRPr="002911E8">
              <w:t>either express</w:t>
            </w:r>
            <w:proofErr w:type="gramEnd"/>
            <w:r w:rsidRPr="002911E8">
              <w:t xml:space="preserve">, implied or presumed. It follows from this that no right can have the status of an easement unless it is the possible subject matter of a grant. This in turn requires that its nature and extent should be capable of exact description. Its sphere of operation must be precise and certain. If it is too vague and so indeterminate as to defy precise definition it cannot rank as an easement." This matter has already been touched upon but at the risk of unnecessary repetition, it is pointed out there was a creation of a right by the instrument of transfer, which when registered, had the same efficacy as if made under seal, and shall be as valid and effective to all intents and purposes as a deed duly executed and acknowledged: see </w:t>
            </w:r>
            <w:proofErr w:type="gramStart"/>
            <w:r w:rsidRPr="002911E8">
              <w:t>s40(</w:t>
            </w:r>
            <w:proofErr w:type="gramEnd"/>
            <w:r w:rsidRPr="002911E8">
              <w:t xml:space="preserve">2) of the Transfer of Land Act 1958. In fact, therefore, the instrument when registered may be said to be a grant of a right. Can such type of right form the subject of a grant so as to constitute an easement in law? The Ellenborough Park Case has established that a right of enjoyment in a pleasure ground could be the subject-matter of an easement. In my opinion, the right conferred in the present case is even stronger. It is a positive easement which gave the transferees and their successors entitled to the various lots a right to do something on or to </w:t>
            </w:r>
            <w:proofErr w:type="spellStart"/>
            <w:r w:rsidRPr="002911E8">
              <w:t>Keam's</w:t>
            </w:r>
            <w:proofErr w:type="spellEnd"/>
            <w:r w:rsidRPr="002911E8">
              <w:t xml:space="preserve"> land: cf. Lord Denning, MR, in Phipps v </w:t>
            </w:r>
            <w:r w:rsidRPr="002911E8">
              <w:lastRenderedPageBreak/>
              <w:t xml:space="preserve">Pears,[1964] 2 All ER 35, at p. 37. In terms the nature of the right granted here and the area over which it was granted was more certain then the rights considered in the Ellenborough Park Case or for that matter in the case of Miller v </w:t>
            </w:r>
            <w:proofErr w:type="spellStart"/>
            <w:r w:rsidRPr="002911E8">
              <w:t>Emcer</w:t>
            </w:r>
            <w:proofErr w:type="spellEnd"/>
            <w:r w:rsidRPr="002911E8">
              <w:t xml:space="preserve"> Products Ltd., [1956] </w:t>
            </w:r>
            <w:proofErr w:type="spellStart"/>
            <w:r w:rsidRPr="002911E8">
              <w:t>Ch</w:t>
            </w:r>
            <w:proofErr w:type="spellEnd"/>
            <w:r w:rsidRPr="002911E8">
              <w:t xml:space="preserve"> 304; [1956] 1 All ER 237; Heywood v </w:t>
            </w:r>
            <w:proofErr w:type="spellStart"/>
            <w:r w:rsidRPr="002911E8">
              <w:t>Mallalieu</w:t>
            </w:r>
            <w:proofErr w:type="spellEnd"/>
            <w:r w:rsidRPr="002911E8">
              <w:t xml:space="preserve"> (1883) 25 </w:t>
            </w:r>
            <w:proofErr w:type="spellStart"/>
            <w:r w:rsidRPr="002911E8">
              <w:t>Ch</w:t>
            </w:r>
            <w:proofErr w:type="spellEnd"/>
            <w:r w:rsidRPr="002911E8">
              <w:t xml:space="preserve"> D 357; Maurice </w:t>
            </w:r>
            <w:proofErr w:type="spellStart"/>
            <w:r w:rsidRPr="002911E8">
              <w:t>Toltz</w:t>
            </w:r>
            <w:proofErr w:type="spellEnd"/>
            <w:r w:rsidRPr="002911E8">
              <w:t xml:space="preserve"> Pty. Ltd. v </w:t>
            </w:r>
            <w:proofErr w:type="spellStart"/>
            <w:r w:rsidRPr="002911E8">
              <w:t>Macey's</w:t>
            </w:r>
            <w:proofErr w:type="spellEnd"/>
            <w:r w:rsidRPr="002911E8">
              <w:t xml:space="preserve"> Emporium Pty. Ltd., [1970] NSWR 474, at p. 480, or </w:t>
            </w:r>
            <w:proofErr w:type="spellStart"/>
            <w:r w:rsidRPr="002911E8">
              <w:t>Treweeke</w:t>
            </w:r>
            <w:proofErr w:type="spellEnd"/>
            <w:r w:rsidRPr="002911E8">
              <w:t xml:space="preserve"> v36 Wolseley Road Pty. Ltd. (1973) 47 ALJR 394; 1 ALR 104.</w:t>
            </w:r>
          </w:p>
          <w:p w:rsidR="002911E8" w:rsidRPr="002911E8" w:rsidRDefault="002911E8" w:rsidP="002911E8">
            <w:r w:rsidRPr="002911E8">
              <w:t xml:space="preserve">It was submitted, however, that the right conferred by </w:t>
            </w:r>
            <w:proofErr w:type="spellStart"/>
            <w:r w:rsidRPr="002911E8">
              <w:t>Keam</w:t>
            </w:r>
            <w:proofErr w:type="spellEnd"/>
            <w:r w:rsidRPr="002911E8">
              <w:t xml:space="preserve"> was so indeterminate as to defy precise definition. It was urged the enjoyment of the area for recreation was the kind of jus </w:t>
            </w:r>
            <w:proofErr w:type="spellStart"/>
            <w:r w:rsidRPr="002911E8">
              <w:t>spatiandi</w:t>
            </w:r>
            <w:proofErr w:type="spellEnd"/>
            <w:r w:rsidRPr="002911E8">
              <w:t xml:space="preserve"> which the Court of Appeal suggested in the Ellenborough Park Case could not form the subject of an easement. In my opinion, enjoyment of a defined area for recreation not given to the public, but given to a limited number of lot holders is just as certain as the rights referred to in the above cases, or the right to walk for pleasure referred to in Duncan v </w:t>
            </w:r>
            <w:proofErr w:type="spellStart"/>
            <w:r w:rsidRPr="002911E8">
              <w:t>Louch</w:t>
            </w:r>
            <w:proofErr w:type="spellEnd"/>
            <w:r w:rsidRPr="002911E8">
              <w:t xml:space="preserve"> (1845) 6 QB 904; 115 ER 341, which was approved in the Ellenborough Park Case by the Court of Appeal at (</w:t>
            </w:r>
            <w:proofErr w:type="spellStart"/>
            <w:r w:rsidRPr="002911E8">
              <w:t>Ch</w:t>
            </w:r>
            <w:proofErr w:type="spellEnd"/>
            <w:r w:rsidRPr="002911E8">
              <w:t>) pp. 184-5.</w:t>
            </w:r>
          </w:p>
          <w:p w:rsidR="002911E8" w:rsidRPr="002911E8" w:rsidRDefault="002911E8" w:rsidP="002911E8">
            <w:r w:rsidRPr="002911E8">
              <w:t xml:space="preserve">Having regard to the decision of the Court of Appeal on the right there granted, it seems to me that the right set out in the instrument of transfer to each of the transferees from </w:t>
            </w:r>
            <w:proofErr w:type="spellStart"/>
            <w:r w:rsidRPr="002911E8">
              <w:t>Keam</w:t>
            </w:r>
            <w:proofErr w:type="spellEnd"/>
            <w:r w:rsidRPr="002911E8">
              <w:t xml:space="preserve"> was sufficient to found an easement. It was more than a mere personal advantage to the transferee of the lot. It was capable of being the subject of a grant at law. In fact, as already noticed, it was in form a grant at law. For gracious living it has been found for a very long time, as the English authorities well illustrate, necessary to have space in areas around a house for the purposes of a garden and recreation, and even of a park. Undoubtedly, it adds to the enjoyment of the occupation of such house property. Although each block here, according to modern standards, would be regarded as a large allotment, nevertheless it would undoubtedly add to the enjoyment and occupation of each block to have the added liberty of using the contiguous large private </w:t>
            </w:r>
            <w:proofErr w:type="spellStart"/>
            <w:r w:rsidRPr="002911E8">
              <w:t>area,closed</w:t>
            </w:r>
            <w:proofErr w:type="spellEnd"/>
            <w:r w:rsidRPr="002911E8">
              <w:t xml:space="preserve"> to the public, for the purpose of recreation, garden, or a park. Accordingly, so far as it is necessary to find as a fact I am satisfied on the evidence that the grant constituted a right in the nature of an easement appurtenant to and for the enjoyment of the lots transferred. In so far as it is a matter of law, the grant, in my opinion, possessed all the four characteristics referred to by Cheshire.</w:t>
            </w:r>
          </w:p>
          <w:p w:rsidR="002911E8" w:rsidRPr="002911E8" w:rsidRDefault="002911E8" w:rsidP="002911E8">
            <w:bookmarkStart w:id="26" w:name="TAACAAL"/>
            <w:bookmarkStart w:id="27" w:name="PAGE_560"/>
            <w:bookmarkEnd w:id="26"/>
            <w:bookmarkEnd w:id="27"/>
            <w:r w:rsidRPr="002911E8">
              <w:rPr>
                <w:i/>
                <w:iCs/>
              </w:rPr>
              <w:t>[1974] VR 547 at 560</w:t>
            </w:r>
          </w:p>
          <w:p w:rsidR="002911E8" w:rsidRPr="002911E8" w:rsidRDefault="002911E8" w:rsidP="002911E8">
            <w:r w:rsidRPr="002911E8">
              <w:t xml:space="preserve">Having decided the right granted by </w:t>
            </w:r>
            <w:proofErr w:type="spellStart"/>
            <w:r w:rsidRPr="002911E8">
              <w:t>Keam</w:t>
            </w:r>
            <w:proofErr w:type="spellEnd"/>
            <w:r w:rsidRPr="002911E8">
              <w:t xml:space="preserve"> constituted an easement, I now turn to the next matter for consideration.</w:t>
            </w:r>
          </w:p>
          <w:p w:rsidR="002911E8" w:rsidRPr="002911E8" w:rsidRDefault="002911E8" w:rsidP="002911E8">
            <w:r w:rsidRPr="002911E8">
              <w:t xml:space="preserve">(2) DEFENDANTS' RIGHT OVER THE DISPUTED AREA The defendants being the registered proprietors of lot 36 are entitled to a similar right over the reserve as that set out in the certificates of title of the plaintiffs, other than the Browns and the </w:t>
            </w:r>
            <w:proofErr w:type="spellStart"/>
            <w:r w:rsidRPr="002911E8">
              <w:t>Campbells</w:t>
            </w:r>
            <w:proofErr w:type="spellEnd"/>
            <w:r w:rsidRPr="002911E8">
              <w:t xml:space="preserve">. The defendants and their predecessors in title of lot 36 would have had the liberty to use the disputed area for recreation or a garden or a park as part of the reserve over which they had been granted the easement as aforesaid. But it has been submitted by </w:t>
            </w:r>
            <w:proofErr w:type="spellStart"/>
            <w:r w:rsidRPr="002911E8">
              <w:t>Mr.</w:t>
            </w:r>
            <w:proofErr w:type="spellEnd"/>
            <w:r w:rsidRPr="002911E8">
              <w:t xml:space="preserve"> Waldron that the defendants at the present time are entitled to something more than that given by the incorporeal right over the disputed area. Right in the forefront of his submission he justifiably relied very strongly on the proved existence of the enclosure of the disputed area for a period of some 40 years. Using this as a foundation, he first submitted that the defendants and their predecessors in title has by adverse possession obtained a fee simple of the disputed area, and, accordingly, the defendants were now entitled to apply to the Registrar of Titles for an order vesting the land in them for an estate in fee simple: see s60 and s61 of the Transfer of </w:t>
            </w:r>
            <w:r w:rsidRPr="002911E8">
              <w:lastRenderedPageBreak/>
              <w:t xml:space="preserve">Land Act 1958. He claimed that none of the plaintiffs had any right to prevent such application being made. Of course, the registered title to the disputed area is still in the name of </w:t>
            </w:r>
            <w:proofErr w:type="spellStart"/>
            <w:r w:rsidRPr="002911E8">
              <w:t>Keam</w:t>
            </w:r>
            <w:proofErr w:type="spellEnd"/>
            <w:r w:rsidRPr="002911E8">
              <w:t xml:space="preserve">. It is, therefore, against </w:t>
            </w:r>
            <w:proofErr w:type="spellStart"/>
            <w:r w:rsidRPr="002911E8">
              <w:t>Keam</w:t>
            </w:r>
            <w:proofErr w:type="spellEnd"/>
            <w:r w:rsidRPr="002911E8">
              <w:t xml:space="preserve"> in the first place that possession, if any, of the defendants and their predecessors must be ascertained and examined to discover whether it was at all times material and still is adverse to </w:t>
            </w:r>
            <w:proofErr w:type="spellStart"/>
            <w:r w:rsidRPr="002911E8">
              <w:t>Keam</w:t>
            </w:r>
            <w:proofErr w:type="spellEnd"/>
            <w:r w:rsidRPr="002911E8">
              <w:t xml:space="preserve"> in the relevant sense. It was submitted by </w:t>
            </w:r>
            <w:proofErr w:type="spellStart"/>
            <w:r w:rsidRPr="002911E8">
              <w:t>Mr.</w:t>
            </w:r>
            <w:proofErr w:type="spellEnd"/>
            <w:r w:rsidRPr="002911E8">
              <w:t xml:space="preserve"> Waldron that when </w:t>
            </w:r>
            <w:proofErr w:type="spellStart"/>
            <w:r w:rsidRPr="002911E8">
              <w:t>Pizzey</w:t>
            </w:r>
            <w:proofErr w:type="spellEnd"/>
            <w:r w:rsidRPr="002911E8">
              <w:t xml:space="preserve"> senior built the tennis court with its wire-netting fence, the probability was that he wrote a similar letter to </w:t>
            </w:r>
            <w:proofErr w:type="spellStart"/>
            <w:r w:rsidRPr="002911E8">
              <w:t>Keam</w:t>
            </w:r>
            <w:proofErr w:type="spellEnd"/>
            <w:r w:rsidRPr="002911E8">
              <w:t xml:space="preserve"> as he had written to Brigadier Moran, and that he had obtained </w:t>
            </w:r>
            <w:proofErr w:type="spellStart"/>
            <w:r w:rsidRPr="002911E8">
              <w:t>Keam's</w:t>
            </w:r>
            <w:proofErr w:type="spellEnd"/>
            <w:r w:rsidRPr="002911E8">
              <w:t xml:space="preserve"> consent to his occupying the land. If he had obtained that consent, then by law </w:t>
            </w:r>
            <w:proofErr w:type="spellStart"/>
            <w:r w:rsidRPr="002911E8">
              <w:t>Pizzey</w:t>
            </w:r>
            <w:proofErr w:type="spellEnd"/>
            <w:r w:rsidRPr="002911E8">
              <w:t xml:space="preserve"> would have become a tenant at will of the disputed area, with the consequence that at the end of 12 months after entry by </w:t>
            </w:r>
            <w:proofErr w:type="spellStart"/>
            <w:r w:rsidRPr="002911E8">
              <w:t>Pizzey</w:t>
            </w:r>
            <w:proofErr w:type="spellEnd"/>
            <w:r w:rsidRPr="002911E8">
              <w:t xml:space="preserve"> on the disputed area, time would have run in favour of </w:t>
            </w:r>
            <w:proofErr w:type="spellStart"/>
            <w:r w:rsidRPr="002911E8">
              <w:t>Pizzey</w:t>
            </w:r>
            <w:proofErr w:type="spellEnd"/>
            <w:r w:rsidRPr="002911E8">
              <w:t xml:space="preserve"> adverse to </w:t>
            </w:r>
            <w:proofErr w:type="spellStart"/>
            <w:r w:rsidRPr="002911E8">
              <w:t>Keam's</w:t>
            </w:r>
            <w:proofErr w:type="spellEnd"/>
            <w:r w:rsidRPr="002911E8">
              <w:t xml:space="preserve"> proprietary interest and so eventually to extinguish </w:t>
            </w:r>
            <w:proofErr w:type="spellStart"/>
            <w:r w:rsidRPr="002911E8">
              <w:t>Keam's</w:t>
            </w:r>
            <w:proofErr w:type="spellEnd"/>
            <w:r w:rsidRPr="002911E8">
              <w:t xml:space="preserve"> ownership of the disputed area. As I have already adumbrated, I am not able to accept this interpretation of the evidence. The view expressed by Lowe, J, in Kirk v Sutherland, [1949] VLR 33, at p. 35; [1949] ALR 262, where a similar claim was being made as in this case is an appropriate starting point to explain my reasons for rejecting the argument. He said:-- "I accept without discussion that in the case of a tenancy at will as with all other tenancies there must be a contract between the landlord and the tenant (see inter alia, per Isaacs, J, Burnham v </w:t>
            </w:r>
            <w:proofErr w:type="spellStart"/>
            <w:r w:rsidRPr="002911E8">
              <w:t>Caroll</w:t>
            </w:r>
            <w:proofErr w:type="spellEnd"/>
            <w:r w:rsidRPr="002911E8">
              <w:t xml:space="preserve"> Musgrove Theatres Ltd. (1928) 41 CLR 540, at p. 550; Ley v Peter (1858) 3 H and N 101, at p. 107, 115), that the contract must be for exclusive possession, and the possession must be exclusive in fact even of the landlord (Stevenson v Mayor etc., of North Melbourne, (1890) 16 VLR 314),"</w:t>
            </w:r>
          </w:p>
          <w:p w:rsidR="002911E8" w:rsidRPr="002911E8" w:rsidRDefault="002911E8" w:rsidP="002911E8">
            <w:bookmarkStart w:id="28" w:name="TAACAAM"/>
            <w:bookmarkStart w:id="29" w:name="PAGE_561"/>
            <w:bookmarkEnd w:id="28"/>
            <w:bookmarkEnd w:id="29"/>
            <w:r w:rsidRPr="002911E8">
              <w:rPr>
                <w:i/>
                <w:iCs/>
              </w:rPr>
              <w:t>[1974] VR 547 at 561</w:t>
            </w:r>
          </w:p>
          <w:p w:rsidR="002911E8" w:rsidRPr="002911E8" w:rsidRDefault="002911E8" w:rsidP="002911E8">
            <w:r w:rsidRPr="002911E8">
              <w:t xml:space="preserve">On the evidence I am prepared, as requested by each counsel, to draw reasonable inferences from facts proved, but I am not prepared to speculate on what might have happened. I have no proof that at any time </w:t>
            </w:r>
            <w:proofErr w:type="spellStart"/>
            <w:r w:rsidRPr="002911E8">
              <w:t>Keam</w:t>
            </w:r>
            <w:proofErr w:type="spellEnd"/>
            <w:r w:rsidRPr="002911E8">
              <w:t xml:space="preserve"> regarded himself as a landlord of </w:t>
            </w:r>
            <w:proofErr w:type="spellStart"/>
            <w:r w:rsidRPr="002911E8">
              <w:t>Pizzey</w:t>
            </w:r>
            <w:proofErr w:type="spellEnd"/>
            <w:r w:rsidRPr="002911E8">
              <w:t xml:space="preserve"> in respect of the disputed area, or entered into any contract. I am not prepared from the evidence to assume that any arrangement was made between </w:t>
            </w:r>
            <w:proofErr w:type="spellStart"/>
            <w:r w:rsidRPr="002911E8">
              <w:t>Keam</w:t>
            </w:r>
            <w:proofErr w:type="spellEnd"/>
            <w:r w:rsidRPr="002911E8">
              <w:t xml:space="preserve"> and </w:t>
            </w:r>
            <w:proofErr w:type="spellStart"/>
            <w:r w:rsidRPr="002911E8">
              <w:t>Pizzey</w:t>
            </w:r>
            <w:proofErr w:type="spellEnd"/>
            <w:r w:rsidRPr="002911E8">
              <w:t xml:space="preserve">, other than of course, the grant of the easement by </w:t>
            </w:r>
            <w:proofErr w:type="spellStart"/>
            <w:r w:rsidRPr="002911E8">
              <w:t>Keam</w:t>
            </w:r>
            <w:proofErr w:type="spellEnd"/>
            <w:r w:rsidRPr="002911E8">
              <w:t xml:space="preserve"> to </w:t>
            </w:r>
            <w:proofErr w:type="spellStart"/>
            <w:r w:rsidRPr="002911E8">
              <w:t>Pizzey's</w:t>
            </w:r>
            <w:proofErr w:type="spellEnd"/>
            <w:r w:rsidRPr="002911E8">
              <w:t xml:space="preserve"> predecessor. For the purposes for which he requires the disputed area, </w:t>
            </w:r>
            <w:proofErr w:type="spellStart"/>
            <w:r w:rsidRPr="002911E8">
              <w:t>Pizzey</w:t>
            </w:r>
            <w:proofErr w:type="spellEnd"/>
            <w:r w:rsidRPr="002911E8">
              <w:t xml:space="preserve"> in fact did not require a tenancy of the disputed area. The effect of the creation of the easement for reasons that will appear hereunder rather tends to destroy any speculation that there was any agreement between </w:t>
            </w:r>
            <w:proofErr w:type="spellStart"/>
            <w:r w:rsidRPr="002911E8">
              <w:t>Pizzey</w:t>
            </w:r>
            <w:proofErr w:type="spellEnd"/>
            <w:r w:rsidRPr="002911E8">
              <w:t xml:space="preserve"> and </w:t>
            </w:r>
            <w:proofErr w:type="spellStart"/>
            <w:r w:rsidRPr="002911E8">
              <w:t>Keam</w:t>
            </w:r>
            <w:proofErr w:type="spellEnd"/>
            <w:r w:rsidRPr="002911E8">
              <w:t xml:space="preserve"> giving </w:t>
            </w:r>
            <w:proofErr w:type="spellStart"/>
            <w:r w:rsidRPr="002911E8">
              <w:t>Pizzey</w:t>
            </w:r>
            <w:proofErr w:type="spellEnd"/>
            <w:r w:rsidRPr="002911E8">
              <w:t xml:space="preserve"> exclusive possession. On the evidence I am not prepared to find that any agreement was made between </w:t>
            </w:r>
            <w:proofErr w:type="spellStart"/>
            <w:r w:rsidRPr="002911E8">
              <w:t>Keam</w:t>
            </w:r>
            <w:proofErr w:type="spellEnd"/>
            <w:r w:rsidRPr="002911E8">
              <w:t xml:space="preserve"> and </w:t>
            </w:r>
            <w:proofErr w:type="spellStart"/>
            <w:r w:rsidRPr="002911E8">
              <w:t>Pizzey</w:t>
            </w:r>
            <w:proofErr w:type="spellEnd"/>
            <w:r w:rsidRPr="002911E8">
              <w:t xml:space="preserve"> whereby </w:t>
            </w:r>
            <w:proofErr w:type="spellStart"/>
            <w:r w:rsidRPr="002911E8">
              <w:t>Pizzey</w:t>
            </w:r>
            <w:proofErr w:type="spellEnd"/>
            <w:r w:rsidRPr="002911E8">
              <w:t xml:space="preserve"> entered into and was in actual possession in the relevant sense of the disputed area. Accordingly, I am not prepared to find that </w:t>
            </w:r>
            <w:proofErr w:type="spellStart"/>
            <w:r w:rsidRPr="002911E8">
              <w:t>Pizzey</w:t>
            </w:r>
            <w:proofErr w:type="spellEnd"/>
            <w:r w:rsidRPr="002911E8">
              <w:t xml:space="preserve"> was at any time a tenant at will of the registered proprietor of the disputed area.</w:t>
            </w:r>
          </w:p>
          <w:p w:rsidR="002911E8" w:rsidRPr="002911E8" w:rsidRDefault="002911E8" w:rsidP="002911E8">
            <w:r w:rsidRPr="002911E8">
              <w:t xml:space="preserve">In the alternative, </w:t>
            </w:r>
            <w:proofErr w:type="spellStart"/>
            <w:r w:rsidRPr="002911E8">
              <w:t>Mr.</w:t>
            </w:r>
            <w:proofErr w:type="spellEnd"/>
            <w:r w:rsidRPr="002911E8">
              <w:t xml:space="preserve"> Waldron submitted that if </w:t>
            </w:r>
            <w:proofErr w:type="spellStart"/>
            <w:r w:rsidRPr="002911E8">
              <w:t>Pizzey</w:t>
            </w:r>
            <w:proofErr w:type="spellEnd"/>
            <w:r w:rsidRPr="002911E8">
              <w:t xml:space="preserve"> was not in occupation of the area as a tenant at will, then </w:t>
            </w:r>
            <w:proofErr w:type="spellStart"/>
            <w:r w:rsidRPr="002911E8">
              <w:t>quoad</w:t>
            </w:r>
            <w:proofErr w:type="spellEnd"/>
            <w:r w:rsidRPr="002911E8">
              <w:t xml:space="preserve"> </w:t>
            </w:r>
            <w:proofErr w:type="spellStart"/>
            <w:r w:rsidRPr="002911E8">
              <w:t>Keam</w:t>
            </w:r>
            <w:proofErr w:type="spellEnd"/>
            <w:r w:rsidRPr="002911E8">
              <w:t xml:space="preserve">, he was in occupation as a trespasser. By installing the tennis court and erecting the fence he evinced that he was going into occupation, and as a result, the inference should be drawn that he was in adverse possession of the disputed area. It was said that by erecting the wire-netting fence and putting in the asphalt tennis court within its bounds there was evidence to all the world, including </w:t>
            </w:r>
            <w:proofErr w:type="spellStart"/>
            <w:r w:rsidRPr="002911E8">
              <w:t>Keam</w:t>
            </w:r>
            <w:proofErr w:type="spellEnd"/>
            <w:r w:rsidRPr="002911E8">
              <w:t xml:space="preserve">, that </w:t>
            </w:r>
            <w:proofErr w:type="spellStart"/>
            <w:r w:rsidRPr="002911E8">
              <w:t>Pizzey</w:t>
            </w:r>
            <w:proofErr w:type="spellEnd"/>
            <w:r w:rsidRPr="002911E8">
              <w:t xml:space="preserve"> was in adverse actual possession of the disputed area and in due time </w:t>
            </w:r>
            <w:proofErr w:type="spellStart"/>
            <w:r w:rsidRPr="002911E8">
              <w:t>Keam's</w:t>
            </w:r>
            <w:proofErr w:type="spellEnd"/>
            <w:r w:rsidRPr="002911E8">
              <w:t xml:space="preserve"> title would be extinguished: s18 and s43 of the Real Property Act 1915, s276 and s301 of the Property Law Act 1928, s8 and s18 of the Limitation of Actions Act 1958. In this regard it is well to remember that, in order to rely upon these statutory provisions, it must be proved that </w:t>
            </w:r>
            <w:proofErr w:type="spellStart"/>
            <w:r w:rsidRPr="002911E8">
              <w:t>Pizzey</w:t>
            </w:r>
            <w:proofErr w:type="spellEnd"/>
            <w:r w:rsidRPr="002911E8">
              <w:t xml:space="preserve"> and his successors dispossessed the true owner and were intentionally in actual possession of the disputed area adverse to the possession of and with intent to exclude the true </w:t>
            </w:r>
            <w:r w:rsidRPr="002911E8">
              <w:lastRenderedPageBreak/>
              <w:t xml:space="preserve">owner. In </w:t>
            </w:r>
            <w:proofErr w:type="spellStart"/>
            <w:r w:rsidRPr="002911E8">
              <w:t>Murnane</w:t>
            </w:r>
            <w:proofErr w:type="spellEnd"/>
            <w:r w:rsidRPr="002911E8">
              <w:t xml:space="preserve"> v Findlay, [1926] VLR 80, at p. 87; 31 ALR 480, </w:t>
            </w:r>
            <w:proofErr w:type="spellStart"/>
            <w:r w:rsidRPr="002911E8">
              <w:t>Cussen</w:t>
            </w:r>
            <w:proofErr w:type="spellEnd"/>
            <w:r w:rsidRPr="002911E8">
              <w:t>, J, speaking on behalf of the Full Court, pointed out the effect of certain decided cases to assist in determining whether or not there was actual possession of land of the person claiming by adverse possession and dispossession of the true owner of a particular area. The following considerations, he was of opinion, would be material in determining such questions, namely:--</w:t>
            </w:r>
          </w:p>
          <w:p w:rsidR="002911E8" w:rsidRPr="002911E8" w:rsidRDefault="002911E8" w:rsidP="002911E8">
            <w:r w:rsidRPr="002911E8">
              <w:t>1. The possession of land in every case must be considered with reference to the peculiar circumstances of the case being considered. The acts implying dispossession in one case afford no assistance in another since the question of possession might be quite different in one case as compared with another. The character and value of the property, the suitable and natural mode of using it, having regard to all the circumstances, and the course of conduct which a proprietor might reasonably be expected to follow with due regard to his own interests, varying as they will from case to case, must be taken into account.</w:t>
            </w:r>
          </w:p>
          <w:p w:rsidR="002911E8" w:rsidRPr="002911E8" w:rsidRDefault="002911E8" w:rsidP="002911E8">
            <w:r w:rsidRPr="002911E8">
              <w:t>2. Where possession or dispossession of land is to be inferred from equivocal acts, the intention with which they are done is all important: cf. Clement v Jones (1909) 8 CLR 133; 15 ALR 158.</w:t>
            </w:r>
          </w:p>
          <w:p w:rsidR="002911E8" w:rsidRPr="002911E8" w:rsidRDefault="002911E8" w:rsidP="002911E8">
            <w:r w:rsidRPr="002911E8">
              <w:t>3. The nature of the property must be looked at. A person alleging rights accruing from possession must show that the acts were done which were inconsistent with the enjoyment of the land by the true owner for the purpose for which he intended to use it. As was held in Leigh v Jack (1879) 5 Ex D 264: "Acts of user committed upon land, which do not interfere and are consistent with the purpose to which the owner intended to devote it, do not amount to a dispossession of him."</w:t>
            </w:r>
          </w:p>
          <w:p w:rsidR="002911E8" w:rsidRPr="002911E8" w:rsidRDefault="002911E8" w:rsidP="002911E8">
            <w:bookmarkStart w:id="30" w:name="TAACAAN"/>
            <w:bookmarkStart w:id="31" w:name="PAGE_562"/>
            <w:bookmarkEnd w:id="30"/>
            <w:bookmarkEnd w:id="31"/>
            <w:r w:rsidRPr="002911E8">
              <w:rPr>
                <w:i/>
                <w:iCs/>
              </w:rPr>
              <w:t>[1974] VR 547 at 562</w:t>
            </w:r>
          </w:p>
          <w:p w:rsidR="002911E8" w:rsidRPr="002911E8" w:rsidRDefault="002911E8" w:rsidP="002911E8">
            <w:r w:rsidRPr="002911E8">
              <w:t>Cockburn, CJ, at p. 271 said: "If a man does not use his land, either by himself or by some person claiming through him, he does not necessarily discontinue possession of it". This statement would be peculiarly applicable to an owner of a reserve such as here.</w:t>
            </w:r>
          </w:p>
          <w:p w:rsidR="002911E8" w:rsidRPr="002911E8" w:rsidRDefault="002911E8" w:rsidP="002911E8">
            <w:r w:rsidRPr="002911E8">
              <w:t>4. Finally, his Honour emphasized a consideration which is relevant to the circumstances of this present case. He said ([1926] VLR at p. 88): "...where an act done is given a more limited effect than otherwise might have been the case by reason of the fact that it may be taken in the circumstances not as indicating an intention to exclude the true owner, but as indicating an intention merely to produce a particular special benefit to the person doing it".</w:t>
            </w:r>
          </w:p>
          <w:p w:rsidR="002911E8" w:rsidRPr="002911E8" w:rsidRDefault="002911E8" w:rsidP="002911E8">
            <w:proofErr w:type="spellStart"/>
            <w:r w:rsidRPr="002911E8">
              <w:t>Cussen</w:t>
            </w:r>
            <w:proofErr w:type="spellEnd"/>
            <w:r w:rsidRPr="002911E8">
              <w:t xml:space="preserve">, J, cited </w:t>
            </w:r>
            <w:proofErr w:type="spellStart"/>
            <w:r w:rsidRPr="002911E8">
              <w:t>Littledale</w:t>
            </w:r>
            <w:proofErr w:type="spellEnd"/>
            <w:r w:rsidRPr="002911E8">
              <w:t xml:space="preserve"> v Liverpool College, [1900] 1 </w:t>
            </w:r>
            <w:proofErr w:type="spellStart"/>
            <w:r w:rsidRPr="002911E8">
              <w:t>Ch</w:t>
            </w:r>
            <w:proofErr w:type="spellEnd"/>
            <w:r w:rsidRPr="002911E8">
              <w:t xml:space="preserve"> 19; Philpot v Bath (1904) 20 TLR 589; (1905) 21 TLR 634, and Duke of Beaufort v John </w:t>
            </w:r>
            <w:proofErr w:type="spellStart"/>
            <w:r w:rsidRPr="002911E8">
              <w:t>Aird</w:t>
            </w:r>
            <w:proofErr w:type="spellEnd"/>
            <w:r w:rsidRPr="002911E8">
              <w:t xml:space="preserve"> and Co. (1904) 20 TLR 602, as examples of this consideration. To these citations might also be added Leigh v Jack (1879) 5 Ex D 264, and George Wimpey and Co. Ltd. v </w:t>
            </w:r>
            <w:proofErr w:type="spellStart"/>
            <w:r w:rsidRPr="002911E8">
              <w:t>Sohn</w:t>
            </w:r>
            <w:proofErr w:type="spellEnd"/>
            <w:r w:rsidRPr="002911E8">
              <w:t xml:space="preserve">, [1967] </w:t>
            </w:r>
            <w:proofErr w:type="spellStart"/>
            <w:r w:rsidRPr="002911E8">
              <w:t>Ch</w:t>
            </w:r>
            <w:proofErr w:type="spellEnd"/>
            <w:r w:rsidRPr="002911E8">
              <w:t xml:space="preserve"> 487; [1966] 1 All ER 232. Because of the assistance I have gained from this last case I shall in a moment consider it more closely. The examples cited are cases where the persons claiming land by adverse possession were held not to have dispossessed the true owners for the reason that the actions or conduct of the claimants were merely doing something in furtherance of the rights of enjoyment already conferred upon them by the true owners or their predecessors in title, and the alleged observable indicia of actual possession of the claimants and dispossession of the true owners were regarded as equivocal so as to not establish the proof of the necessary facts.</w:t>
            </w:r>
          </w:p>
          <w:p w:rsidR="002911E8" w:rsidRPr="002911E8" w:rsidRDefault="002911E8" w:rsidP="002911E8">
            <w:r w:rsidRPr="002911E8">
              <w:t xml:space="preserve">Coming back to each of the considerations referred to by the Full Court and applying them to the </w:t>
            </w:r>
            <w:r w:rsidRPr="002911E8">
              <w:lastRenderedPageBreak/>
              <w:t xml:space="preserve">circumstances of this case, first, it should be inferred that after all the lots were alienated by </w:t>
            </w:r>
            <w:proofErr w:type="spellStart"/>
            <w:r w:rsidRPr="002911E8">
              <w:t>Keam</w:t>
            </w:r>
            <w:proofErr w:type="spellEnd"/>
            <w:r w:rsidRPr="002911E8">
              <w:t xml:space="preserve"> he would not actively use the Reserve for any purpose. His sole function as owner in fee simple would be retain that estate in the </w:t>
            </w:r>
            <w:proofErr w:type="spellStart"/>
            <w:r w:rsidRPr="002911E8">
              <w:t>servient</w:t>
            </w:r>
            <w:proofErr w:type="spellEnd"/>
            <w:r w:rsidRPr="002911E8">
              <w:t xml:space="preserve"> tenement in order to protect and not to derogate from the privileges or easements he had granted to the transferees of the various lots. In terms of practicality that would be the only reason for his retaining the ownership of the Reserve, leaving it to the residents of the lots transferred to enjoy the relevant user as they deemed fit. It must be remembered that there were few houses built when the last lot granted rights over the reserve was transferred in 1928. Counsel informed me that the transfer to Brigadier Moran was the last relevant lot to be transferred. It is, therefore, unlikely that </w:t>
            </w:r>
            <w:proofErr w:type="spellStart"/>
            <w:r w:rsidRPr="002911E8">
              <w:t>Keam</w:t>
            </w:r>
            <w:proofErr w:type="spellEnd"/>
            <w:r w:rsidRPr="002911E8">
              <w:t xml:space="preserve"> up to 1928 would be required to make any rules or regulations and the provision in the instruments of transfer that they were to be made by a majority of the lot owners in the future indicated his intention in relation to his user of the reserve and what might be expected of his course of conduct in the future. It would be unlikely that </w:t>
            </w:r>
            <w:proofErr w:type="spellStart"/>
            <w:r w:rsidRPr="002911E8">
              <w:t>Keam</w:t>
            </w:r>
            <w:proofErr w:type="spellEnd"/>
            <w:r w:rsidRPr="002911E8">
              <w:t xml:space="preserve"> would interfere or proclaim his title to the world by actual physical possession of the reserve and every part of it. Of course, legal possession would follow </w:t>
            </w:r>
            <w:proofErr w:type="spellStart"/>
            <w:r w:rsidRPr="002911E8">
              <w:t>Keam's</w:t>
            </w:r>
            <w:proofErr w:type="spellEnd"/>
            <w:r w:rsidRPr="002911E8">
              <w:t xml:space="preserve"> title as the owner in fee simple, subject to the incorporeal hereditaments created by him and imposed on such land. Indeed, if a resident of any lot did anything which could reasonably be described as in the course of enjoyment by the resident of the rights granted by </w:t>
            </w:r>
            <w:proofErr w:type="spellStart"/>
            <w:r w:rsidRPr="002911E8">
              <w:t>Keam</w:t>
            </w:r>
            <w:proofErr w:type="spellEnd"/>
            <w:r w:rsidRPr="002911E8">
              <w:t xml:space="preserve"> over the reserve, and could be regarded as a special benefit to the resident occupying the lot, then </w:t>
            </w:r>
            <w:proofErr w:type="spellStart"/>
            <w:r w:rsidRPr="002911E8">
              <w:t>Keam</w:t>
            </w:r>
            <w:proofErr w:type="spellEnd"/>
            <w:r w:rsidRPr="002911E8">
              <w:t xml:space="preserve"> would find it difficult to establish any foundation for interfering in the actions of such resident. For example, if a resident did not build a back fence onto the reserve and extended his garden out into the reserve, </w:t>
            </w:r>
            <w:proofErr w:type="spellStart"/>
            <w:r w:rsidRPr="002911E8">
              <w:t>Keam</w:t>
            </w:r>
            <w:proofErr w:type="spellEnd"/>
            <w:r w:rsidRPr="002911E8">
              <w:t xml:space="preserve"> having regard to the easement granted by him could not complain. If the extension were unreasonable then other lot holders might complain of an infringement of their rights, but </w:t>
            </w:r>
            <w:proofErr w:type="spellStart"/>
            <w:r w:rsidRPr="002911E8">
              <w:t>Keam</w:t>
            </w:r>
            <w:proofErr w:type="spellEnd"/>
            <w:r w:rsidRPr="002911E8">
              <w:t xml:space="preserve"> having granted the easement for that purpose would be faced by conduct he had expressly permitted. The probabilities are that </w:t>
            </w:r>
            <w:proofErr w:type="spellStart"/>
            <w:r w:rsidRPr="002911E8">
              <w:t>Keam</w:t>
            </w:r>
            <w:proofErr w:type="spellEnd"/>
            <w:r w:rsidRPr="002911E8">
              <w:t xml:space="preserve"> having disposed of all the lots abutting on the reserve would be quite inactive in his ownership of the reserve, because of the nature of the rights he had granted. By stating </w:t>
            </w:r>
            <w:proofErr w:type="spellStart"/>
            <w:r w:rsidRPr="002911E8">
              <w:t>Keam's</w:t>
            </w:r>
            <w:proofErr w:type="spellEnd"/>
            <w:r w:rsidRPr="002911E8">
              <w:t xml:space="preserve"> position in this way, it is not suggested that </w:t>
            </w:r>
            <w:proofErr w:type="spellStart"/>
            <w:r w:rsidRPr="002911E8">
              <w:t>Keam</w:t>
            </w:r>
            <w:proofErr w:type="spellEnd"/>
            <w:r w:rsidRPr="002911E8">
              <w:t xml:space="preserve"> by granting such rights had completely divested himself of the proprietary interest in the reserve. He would still retain many rights. For example, as was suggested in the Ellenborough Park Case, [1956] Ch. at p. 176, he would retain the right to enter the reserve, remove the timber and on selling it be entitled to the proceeds. Equally, when </w:t>
            </w:r>
            <w:proofErr w:type="spellStart"/>
            <w:r w:rsidRPr="002911E8">
              <w:t>Pizzey</w:t>
            </w:r>
            <w:proofErr w:type="spellEnd"/>
            <w:r w:rsidRPr="002911E8">
              <w:t xml:space="preserve"> built the asphalt court into the soil of the reserve, it became the property of </w:t>
            </w:r>
            <w:proofErr w:type="spellStart"/>
            <w:r w:rsidRPr="002911E8">
              <w:t>Keam</w:t>
            </w:r>
            <w:proofErr w:type="spellEnd"/>
            <w:r w:rsidRPr="002911E8">
              <w:t>.</w:t>
            </w:r>
          </w:p>
          <w:p w:rsidR="002911E8" w:rsidRPr="002911E8" w:rsidRDefault="002911E8" w:rsidP="002911E8">
            <w:bookmarkStart w:id="32" w:name="TAACAAO"/>
            <w:bookmarkStart w:id="33" w:name="PAGE_563"/>
            <w:bookmarkEnd w:id="32"/>
            <w:bookmarkEnd w:id="33"/>
            <w:r w:rsidRPr="002911E8">
              <w:rPr>
                <w:i/>
                <w:iCs/>
              </w:rPr>
              <w:t>[1974] VR 547 at 563</w:t>
            </w:r>
          </w:p>
          <w:p w:rsidR="002911E8" w:rsidRPr="002911E8" w:rsidRDefault="002911E8" w:rsidP="002911E8">
            <w:r w:rsidRPr="002911E8">
              <w:t xml:space="preserve">On the way the case has been presented to the Court, in the main, the proof of alleged actual possession by </w:t>
            </w:r>
            <w:proofErr w:type="spellStart"/>
            <w:r w:rsidRPr="002911E8">
              <w:t>Pizzey</w:t>
            </w:r>
            <w:proofErr w:type="spellEnd"/>
            <w:r w:rsidRPr="002911E8">
              <w:t xml:space="preserve"> and dispossession of </w:t>
            </w:r>
            <w:proofErr w:type="spellStart"/>
            <w:r w:rsidRPr="002911E8">
              <w:t>Keam</w:t>
            </w:r>
            <w:proofErr w:type="spellEnd"/>
            <w:r w:rsidRPr="002911E8">
              <w:t xml:space="preserve"> must be substantially a matter of inference. Other than the evidence of Brigadier Moran, there is no direct evidence, but having regard to the fact that </w:t>
            </w:r>
            <w:proofErr w:type="spellStart"/>
            <w:r w:rsidRPr="002911E8">
              <w:t>Pizzey</w:t>
            </w:r>
            <w:proofErr w:type="spellEnd"/>
            <w:r w:rsidRPr="002911E8">
              <w:t xml:space="preserve"> built a tennis court and created a typical wire-netting fence with gates at each end for the use of players on the court, and his invitation to Brigadier Moran, and probably to other lot holders, to use the area, the evidence of exclusive possession by </w:t>
            </w:r>
            <w:proofErr w:type="spellStart"/>
            <w:r w:rsidRPr="002911E8">
              <w:t>Pizzey</w:t>
            </w:r>
            <w:proofErr w:type="spellEnd"/>
            <w:r w:rsidRPr="002911E8">
              <w:t xml:space="preserve"> of the disputed area becomes quite equivocal. As the authorities show, the intention evinced by the conduct of </w:t>
            </w:r>
            <w:proofErr w:type="spellStart"/>
            <w:r w:rsidRPr="002911E8">
              <w:t>Pizzey</w:t>
            </w:r>
            <w:proofErr w:type="spellEnd"/>
            <w:r w:rsidRPr="002911E8">
              <w:t xml:space="preserve"> then assumes great importance and becomes the vital factor in the matter. From Brigadier Moran's evidence, it is quite clear that </w:t>
            </w:r>
            <w:proofErr w:type="spellStart"/>
            <w:r w:rsidRPr="002911E8">
              <w:t>Pizzey</w:t>
            </w:r>
            <w:proofErr w:type="spellEnd"/>
            <w:r w:rsidRPr="002911E8">
              <w:t xml:space="preserve"> was not intending to alienate the disputed area from the reserve. By his words and actions, </w:t>
            </w:r>
            <w:proofErr w:type="spellStart"/>
            <w:r w:rsidRPr="002911E8">
              <w:t>Pizzey</w:t>
            </w:r>
            <w:proofErr w:type="spellEnd"/>
            <w:r w:rsidRPr="002911E8">
              <w:t xml:space="preserve"> was apparently seeking to develop on the reserve an area for specified communal recreation and also a garden which under his easement he was entitled to do. The inaction of </w:t>
            </w:r>
            <w:proofErr w:type="spellStart"/>
            <w:r w:rsidRPr="002911E8">
              <w:t>Keam</w:t>
            </w:r>
            <w:proofErr w:type="spellEnd"/>
            <w:r w:rsidRPr="002911E8">
              <w:t xml:space="preserve"> to the erection of the fence around three sides of the tennis court was in the </w:t>
            </w:r>
            <w:r w:rsidRPr="002911E8">
              <w:lastRenderedPageBreak/>
              <w:t>circumstances equally equivocal. It would have been of the same quality as his inactivity as would be expected in relation to the rest of the reserve generally, namely that his non-use of the area and his failure to assert actively any rights in relation to any part of the reserve was no indication whatever that he intended to give up any right of legal possession of any part of the reserve pursuant to his ownership of the fee simple, but rather in furtherance of policy to be found in the grant of the easement itself, leaving it to the transferees to control the reserve for their mutual benefit.</w:t>
            </w:r>
          </w:p>
          <w:p w:rsidR="002911E8" w:rsidRPr="002911E8" w:rsidRDefault="002911E8" w:rsidP="002911E8">
            <w:r w:rsidRPr="002911E8">
              <w:t xml:space="preserve">Coming then to the third consideration mentioned by </w:t>
            </w:r>
            <w:proofErr w:type="spellStart"/>
            <w:r w:rsidRPr="002911E8">
              <w:t>Cussen</w:t>
            </w:r>
            <w:proofErr w:type="spellEnd"/>
            <w:r w:rsidRPr="002911E8">
              <w:t xml:space="preserve">, J, the defendants were, in my opinion, bound to show that </w:t>
            </w:r>
            <w:proofErr w:type="spellStart"/>
            <w:r w:rsidRPr="002911E8">
              <w:t>Pizzey's</w:t>
            </w:r>
            <w:proofErr w:type="spellEnd"/>
            <w:r w:rsidRPr="002911E8">
              <w:t xml:space="preserve"> conduct in building the tennis court with its wire-netting fence and gates at each end, which so far as the evidence goes were not locked, and the subsequent continuous existence of the fence was inconsistent with the manner of enjoyment that </w:t>
            </w:r>
            <w:proofErr w:type="spellStart"/>
            <w:r w:rsidRPr="002911E8">
              <w:t>Keam</w:t>
            </w:r>
            <w:proofErr w:type="spellEnd"/>
            <w:r w:rsidRPr="002911E8">
              <w:t xml:space="preserve"> intended for himself in the future in respect of the reserve, and all parts thereof, after he had transferred all the relevant lots. I reiterate that I believe that thereafter </w:t>
            </w:r>
            <w:proofErr w:type="spellStart"/>
            <w:r w:rsidRPr="002911E8">
              <w:t>Keam</w:t>
            </w:r>
            <w:proofErr w:type="spellEnd"/>
            <w:r w:rsidRPr="002911E8">
              <w:t xml:space="preserve"> intended to take little part in the future activities of the reserve; he intended to leave it to his transferees. Anything reasonably done within the ambit of the liberty he granted, </w:t>
            </w:r>
            <w:proofErr w:type="spellStart"/>
            <w:r w:rsidRPr="002911E8">
              <w:t>Keam</w:t>
            </w:r>
            <w:proofErr w:type="spellEnd"/>
            <w:r w:rsidRPr="002911E8">
              <w:t xml:space="preserve"> had to accept in any event. If </w:t>
            </w:r>
            <w:proofErr w:type="spellStart"/>
            <w:r w:rsidRPr="002911E8">
              <w:t>Pizzey</w:t>
            </w:r>
            <w:proofErr w:type="spellEnd"/>
            <w:r w:rsidRPr="002911E8">
              <w:t xml:space="preserve"> built the tennis court for the purpose as he informed Brigadier Moran for recreation of the lot owners, then it must be inferred that his intention as he expressed it was not to alienate the disputed area from the reserve but pursuant to his liberty simply to develop the area as a place of recreation for the use of residents. I repeat the erection of the high wire-netting fence with gates at each end was a typical convenience for those using and playing on the tennis court and did not necessarily evince any intention or evidence of a fact to exclude the true owner from the area. Initially the fence enclosing the disputed area would be of special benefit of all those persons who might be entitled to use the reserve for recreation. Again, it should not be forgotten that when it was built few houses were built on the subdivision, and, therefore, few people might at that time be expected in fact to use it. As far as </w:t>
            </w:r>
            <w:proofErr w:type="spellStart"/>
            <w:r w:rsidRPr="002911E8">
              <w:t>Keam</w:t>
            </w:r>
            <w:proofErr w:type="spellEnd"/>
            <w:r w:rsidRPr="002911E8">
              <w:t xml:space="preserve"> was concerned, it did not interfere in any way with his intended user of the area, and in fact, he would have found it very difficult to find reasons to prevent the installation of a tennis court used by </w:t>
            </w:r>
            <w:proofErr w:type="spellStart"/>
            <w:r w:rsidRPr="002911E8">
              <w:t>Pizzey</w:t>
            </w:r>
            <w:proofErr w:type="spellEnd"/>
            <w:r w:rsidRPr="002911E8">
              <w:t xml:space="preserve"> once it was explained to him, as it was explained to Brigadier Moran by </w:t>
            </w:r>
            <w:proofErr w:type="spellStart"/>
            <w:r w:rsidRPr="002911E8">
              <w:t>Pizzey</w:t>
            </w:r>
            <w:proofErr w:type="spellEnd"/>
            <w:r w:rsidRPr="002911E8">
              <w:t>, that the enclosure was never intended to alienate the area from the reserve but was intended to provide the residents of the lots with a special feature in the enjoyment of the right to recreation on the reserve.</w:t>
            </w:r>
          </w:p>
          <w:p w:rsidR="002911E8" w:rsidRPr="002911E8" w:rsidRDefault="002911E8" w:rsidP="002911E8">
            <w:bookmarkStart w:id="34" w:name="TAACAAP"/>
            <w:bookmarkStart w:id="35" w:name="PAGE_564"/>
            <w:bookmarkEnd w:id="34"/>
            <w:bookmarkEnd w:id="35"/>
            <w:r w:rsidRPr="002911E8">
              <w:rPr>
                <w:i/>
                <w:iCs/>
              </w:rPr>
              <w:t>[1974] VR 547 at 564</w:t>
            </w:r>
          </w:p>
          <w:p w:rsidR="002911E8" w:rsidRPr="002911E8" w:rsidRDefault="002911E8" w:rsidP="002911E8">
            <w:r w:rsidRPr="002911E8">
              <w:t xml:space="preserve">The only proper inference in my view to draw from the evidence particularly of Brigadier Moran was that </w:t>
            </w:r>
            <w:proofErr w:type="spellStart"/>
            <w:r w:rsidRPr="002911E8">
              <w:t>Pizzey</w:t>
            </w:r>
            <w:proofErr w:type="spellEnd"/>
            <w:r w:rsidRPr="002911E8">
              <w:t xml:space="preserve"> was lawfully exploiting his privilege granted by </w:t>
            </w:r>
            <w:proofErr w:type="spellStart"/>
            <w:r w:rsidRPr="002911E8">
              <w:t>Keam</w:t>
            </w:r>
            <w:proofErr w:type="spellEnd"/>
            <w:r w:rsidRPr="002911E8">
              <w:t xml:space="preserve"> and to ensure harmony </w:t>
            </w:r>
            <w:proofErr w:type="spellStart"/>
            <w:r w:rsidRPr="002911E8">
              <w:t>Pizzey</w:t>
            </w:r>
            <w:proofErr w:type="spellEnd"/>
            <w:r w:rsidRPr="002911E8">
              <w:t xml:space="preserve"> obtained the consent of other easement holders to establish and install the tennis court as a part of the recreation for all lot holders using the reserve.</w:t>
            </w:r>
          </w:p>
          <w:p w:rsidR="002911E8" w:rsidRPr="002911E8" w:rsidRDefault="002911E8" w:rsidP="002911E8">
            <w:r w:rsidRPr="002911E8">
              <w:t xml:space="preserve">If this is the proper inference to draw, as I believe it is, </w:t>
            </w:r>
            <w:proofErr w:type="spellStart"/>
            <w:r w:rsidRPr="002911E8">
              <w:t>Pizzey</w:t>
            </w:r>
            <w:proofErr w:type="spellEnd"/>
            <w:r w:rsidRPr="002911E8">
              <w:t xml:space="preserve"> was never in actual or exclusive possession in the relevant sense and there was no proof of </w:t>
            </w:r>
            <w:proofErr w:type="spellStart"/>
            <w:r w:rsidRPr="002911E8">
              <w:t>Keam's</w:t>
            </w:r>
            <w:proofErr w:type="spellEnd"/>
            <w:r w:rsidRPr="002911E8">
              <w:t xml:space="preserve"> dispossession. Although there is no evidence that </w:t>
            </w:r>
            <w:proofErr w:type="spellStart"/>
            <w:r w:rsidRPr="002911E8">
              <w:t>Keam</w:t>
            </w:r>
            <w:proofErr w:type="spellEnd"/>
            <w:r w:rsidRPr="002911E8">
              <w:t xml:space="preserve"> ever sought to exercise his rights as owner in fee simple over the disputed area, there was no occasion for him to do so. In my opinion, he or his estate remained in legal possession of the disputed area throughout pursuant to his ownership of the fee simple of the reserve.</w:t>
            </w:r>
          </w:p>
          <w:p w:rsidR="002911E8" w:rsidRPr="002911E8" w:rsidRDefault="002911E8" w:rsidP="002911E8">
            <w:r w:rsidRPr="002911E8">
              <w:t xml:space="preserve">Turning to the fourth consideration mentioned by </w:t>
            </w:r>
            <w:proofErr w:type="spellStart"/>
            <w:r w:rsidRPr="002911E8">
              <w:t>Cussen</w:t>
            </w:r>
            <w:proofErr w:type="spellEnd"/>
            <w:r w:rsidRPr="002911E8">
              <w:t xml:space="preserve">, J, I have already to touched upon the </w:t>
            </w:r>
            <w:r w:rsidRPr="002911E8">
              <w:lastRenderedPageBreak/>
              <w:t xml:space="preserve">matter in the reasons I have already given, but in this regard I found great assistance in the decision of the Court of Appeal in George Wimpey and Co. Ltd. v </w:t>
            </w:r>
            <w:proofErr w:type="spellStart"/>
            <w:r w:rsidRPr="002911E8">
              <w:t>Sohn</w:t>
            </w:r>
            <w:proofErr w:type="spellEnd"/>
            <w:r w:rsidRPr="002911E8">
              <w:t xml:space="preserve">, [1967] </w:t>
            </w:r>
            <w:proofErr w:type="spellStart"/>
            <w:r w:rsidRPr="002911E8">
              <w:t>Ch</w:t>
            </w:r>
            <w:proofErr w:type="spellEnd"/>
            <w:r w:rsidRPr="002911E8">
              <w:t xml:space="preserve"> 487; [1966] 1 All ER 232. The facts are somewhat involved, but in order to understand the usefulness of the authority I have deliberately disregarded certain matters immaterial to the present proceedings in order to simplify the narrative. Shortly, the proceedings were between vendor and purchaser of </w:t>
            </w:r>
            <w:proofErr w:type="gramStart"/>
            <w:r w:rsidRPr="002911E8">
              <w:t>an</w:t>
            </w:r>
            <w:proofErr w:type="gramEnd"/>
            <w:r w:rsidRPr="002911E8">
              <w:t xml:space="preserve"> hotel which was erected on freehold land, appurtenant to which was an easement of enjoyment of a large garden contiguous to the freehold. By the contract, the vendors were required to give certain proofs in writing to the purchasers of the adverse possession of the hotel garden for a period of 20 years in order that the purchasers might assert rights of ownership by adverse possession of the hotel garden, and thereby be enabled to build on the area. The hotel garden was part only of the large garden area, which in 1833 had been given in terms of an easement to the neighbouring lots. But at various times, there were alterations to the larger garden and in about 1940 the hotel garden immediately abutting onto the freehold of the hotel was completely enclosed by a fence, which on its appearance excluded everyone, other than the inhabitants of the building comprising the hotel, from using the hotel garden. Although the vendors in fact were unable to provide the necessary written proofs of 20 years' adverse possession as required by the contract, nevertheless they claimed they could make title to the purchasers of the whole hotel garden by adverse possession thereof for the specified statutory period, since their predecessors in title with themselves had been in actual possession of the whole garden for the period specified in the Limitation of Actions Act, 1939 (UK), namely 12 years. Taking the headnote as my guide, it was held by the Court of Appeal that the only act upon which the vendors could rely in support of their claim to a title by adverse possession was the fencing of the garden; that the fencing, although on the face of it, an act of exclusion was an equivocal act, because it could be inferred that there was an intention to continue the easement in common, and by fencing to protect the garden from the public and not as an intention to exclude the freeholder, which neither the vendors nor their predecessors in title had at any claim to have done. In these circumstances, the fencing could not be held to have established that the occupation of the vendors of their predecessors was animus </w:t>
            </w:r>
            <w:proofErr w:type="spellStart"/>
            <w:r w:rsidRPr="002911E8">
              <w:t>possidendi</w:t>
            </w:r>
            <w:proofErr w:type="spellEnd"/>
            <w:r w:rsidRPr="002911E8">
              <w:t xml:space="preserve"> in the sense of owning the land as distinct from exercising an easement to use it as a garden. Therefore no possessory title had been shown.</w:t>
            </w:r>
          </w:p>
          <w:p w:rsidR="002911E8" w:rsidRPr="002911E8" w:rsidRDefault="002911E8" w:rsidP="002911E8">
            <w:bookmarkStart w:id="36" w:name="TAACAAQ"/>
            <w:bookmarkStart w:id="37" w:name="PAGE_565"/>
            <w:bookmarkEnd w:id="36"/>
            <w:bookmarkEnd w:id="37"/>
            <w:r w:rsidRPr="002911E8">
              <w:rPr>
                <w:i/>
                <w:iCs/>
              </w:rPr>
              <w:t>[1974] VR 547 at 565</w:t>
            </w:r>
          </w:p>
          <w:p w:rsidR="002911E8" w:rsidRPr="002911E8" w:rsidRDefault="002911E8" w:rsidP="002911E8">
            <w:r w:rsidRPr="002911E8">
              <w:t>All these observations are peculiarly applicable to the circumstances of the present case. There is one very important and one very useful statement of Harman, LJ, at (</w:t>
            </w:r>
            <w:proofErr w:type="spellStart"/>
            <w:r w:rsidRPr="002911E8">
              <w:t>Ch</w:t>
            </w:r>
            <w:proofErr w:type="spellEnd"/>
            <w:r w:rsidRPr="002911E8">
              <w:t>) p. 506 which I now read:--</w:t>
            </w:r>
          </w:p>
          <w:p w:rsidR="002911E8" w:rsidRPr="002911E8" w:rsidRDefault="002911E8" w:rsidP="002911E8">
            <w:r w:rsidRPr="002911E8">
              <w:t xml:space="preserve">"The question here is whether what has been done is enough to exclude the freeholder who has a title on paper. Now it seems to me the only act which has any weight at all is the maintenance of the fences along the road, and the question is whether that fencing must of necessity have been intended to exclude the true owner or whether, as the judge found, it is equivocal and can be explained by the desire of the owners of the Montpelier Hotel or its component parts to keep the public from straying from the road into the gardens backing on the hotel. In other respects nothing was done inconsistent with the view that the Montpelier Hotel owners thought of themselves as merely exercising their rights to use the garden. It seems to me that this is precisely how they did regard themselves and that is shown by the fact that right up to 1960, when the contract was in preparation, it never occurred to the defendants or their predecessors that they had more to sell than the hotel building and easements over the </w:t>
            </w:r>
            <w:proofErr w:type="spellStart"/>
            <w:r w:rsidRPr="002911E8">
              <w:t>garden."Where</w:t>
            </w:r>
            <w:proofErr w:type="spellEnd"/>
            <w:r w:rsidRPr="002911E8">
              <w:t xml:space="preserve"> an act done is equivocal the </w:t>
            </w:r>
            <w:r w:rsidRPr="002911E8">
              <w:lastRenderedPageBreak/>
              <w:t>intention with which it is done is of importance."</w:t>
            </w:r>
          </w:p>
          <w:p w:rsidR="002911E8" w:rsidRPr="002911E8" w:rsidRDefault="002911E8" w:rsidP="002911E8">
            <w:r w:rsidRPr="002911E8">
              <w:t xml:space="preserve">So in the case before me it never occurred to the predecessors in title of lot 36 to sell or to claim to sell anything more than the fee simple of that lot, together with the original privilege over the reserve granted by </w:t>
            </w:r>
            <w:proofErr w:type="spellStart"/>
            <w:r w:rsidRPr="002911E8">
              <w:t>Keam</w:t>
            </w:r>
            <w:proofErr w:type="spellEnd"/>
            <w:r w:rsidRPr="002911E8">
              <w:t xml:space="preserve">. Secondly, the purpose of the enclosure of the disputed area in the circumstances in which it was made by </w:t>
            </w:r>
            <w:proofErr w:type="spellStart"/>
            <w:r w:rsidRPr="002911E8">
              <w:t>Pizzey</w:t>
            </w:r>
            <w:proofErr w:type="spellEnd"/>
            <w:r w:rsidRPr="002911E8">
              <w:t xml:space="preserve"> </w:t>
            </w:r>
            <w:proofErr w:type="gramStart"/>
            <w:r w:rsidRPr="002911E8">
              <w:t>are</w:t>
            </w:r>
            <w:proofErr w:type="gramEnd"/>
            <w:r w:rsidRPr="002911E8">
              <w:t xml:space="preserve"> quite consistent with the privileges granted jointly to </w:t>
            </w:r>
            <w:proofErr w:type="spellStart"/>
            <w:r w:rsidRPr="002911E8">
              <w:t>Keam's</w:t>
            </w:r>
            <w:proofErr w:type="spellEnd"/>
            <w:r w:rsidRPr="002911E8">
              <w:t xml:space="preserve"> transferees. And thirdly, as I have already observed, the enclosure by the wire-netting fence can properly be explained as a mere convenience for those playing tennis and not as an outward and visible indication of excluding the true owner from the area. The purpose of the fencing would appear comparable to that which caused the enclosure of the garden in the Wimpey Case.</w:t>
            </w:r>
          </w:p>
          <w:p w:rsidR="002911E8" w:rsidRPr="002911E8" w:rsidRDefault="002911E8" w:rsidP="002911E8">
            <w:bookmarkStart w:id="38" w:name="TAACAAR"/>
            <w:bookmarkStart w:id="39" w:name="PAGE_566"/>
            <w:bookmarkEnd w:id="38"/>
            <w:bookmarkEnd w:id="39"/>
            <w:r w:rsidRPr="002911E8">
              <w:rPr>
                <w:i/>
                <w:iCs/>
              </w:rPr>
              <w:t>[1974] VR 547 at 566</w:t>
            </w:r>
          </w:p>
          <w:p w:rsidR="002911E8" w:rsidRPr="002911E8" w:rsidRDefault="002911E8" w:rsidP="002911E8">
            <w:r w:rsidRPr="002911E8">
              <w:t>At (</w:t>
            </w:r>
            <w:proofErr w:type="spellStart"/>
            <w:r w:rsidRPr="002911E8">
              <w:t>Ch</w:t>
            </w:r>
            <w:proofErr w:type="spellEnd"/>
            <w:r w:rsidRPr="002911E8">
              <w:t xml:space="preserve">) p. 512 of the same case Russell, LJ, said: "It must, of course, be a very exceptional case in which enclosure of the order indicated will not demonstrate the relevant adverse possession acquired for a possessory title. Where there is an easement as against the landowner to use the land as a garden, it seems to me that a very clear case must be made to establish possession adverse to the landowner so long as the land continues to be used as a garden." With respect, I adopt that reasoning of Russell, LJ, in this case. It is true the disputed area has been enclosed for a very, very long period, and I bear in mind the dicta of </w:t>
            </w:r>
            <w:proofErr w:type="spellStart"/>
            <w:r w:rsidRPr="002911E8">
              <w:t>Willes</w:t>
            </w:r>
            <w:proofErr w:type="spellEnd"/>
            <w:r w:rsidRPr="002911E8">
              <w:t xml:space="preserve">, J, in Rogers v Brook (1784) 1 TR 431, referred to by Lord </w:t>
            </w:r>
            <w:proofErr w:type="spellStart"/>
            <w:r w:rsidRPr="002911E8">
              <w:t>Herschell</w:t>
            </w:r>
            <w:proofErr w:type="spellEnd"/>
            <w:r w:rsidRPr="002911E8">
              <w:t xml:space="preserve"> in </w:t>
            </w:r>
            <w:proofErr w:type="spellStart"/>
            <w:r w:rsidRPr="002911E8">
              <w:t>Philipps</w:t>
            </w:r>
            <w:proofErr w:type="spellEnd"/>
            <w:r w:rsidRPr="002911E8">
              <w:t xml:space="preserve"> v </w:t>
            </w:r>
            <w:proofErr w:type="spellStart"/>
            <w:r w:rsidRPr="002911E8">
              <w:t>Halliday</w:t>
            </w:r>
            <w:proofErr w:type="spellEnd"/>
            <w:r w:rsidRPr="002911E8">
              <w:t xml:space="preserve">, [1891] AC 228, at p. 234. In my opinion, there is no evidence of </w:t>
            </w:r>
            <w:proofErr w:type="spellStart"/>
            <w:r w:rsidRPr="002911E8">
              <w:t>Pizzey's</w:t>
            </w:r>
            <w:proofErr w:type="spellEnd"/>
            <w:r w:rsidRPr="002911E8">
              <w:t xml:space="preserve"> intentional possession of the disputed area adverse to the legal right to possession of </w:t>
            </w:r>
            <w:proofErr w:type="spellStart"/>
            <w:r w:rsidRPr="002911E8">
              <w:t>Keam</w:t>
            </w:r>
            <w:proofErr w:type="spellEnd"/>
            <w:r w:rsidRPr="002911E8">
              <w:t xml:space="preserve"> as a part of the congeries of rights as the owner in fee simple of the reserve. At most, the evidence is more consistent with </w:t>
            </w:r>
            <w:proofErr w:type="spellStart"/>
            <w:r w:rsidRPr="002911E8">
              <w:t>Pizzey</w:t>
            </w:r>
            <w:proofErr w:type="spellEnd"/>
            <w:r w:rsidRPr="002911E8">
              <w:t xml:space="preserve"> taking advantage of the privilege granted to him to create something of special benefit to him in the enjoyment of his occupation of lots 36 and 35 and for the benefit of those entitled to use the reserve for recreation.</w:t>
            </w:r>
          </w:p>
          <w:p w:rsidR="002911E8" w:rsidRPr="002911E8" w:rsidRDefault="002911E8" w:rsidP="002911E8">
            <w:r w:rsidRPr="002911E8">
              <w:t xml:space="preserve">But </w:t>
            </w:r>
            <w:proofErr w:type="spellStart"/>
            <w:r w:rsidRPr="002911E8">
              <w:t>Mr.</w:t>
            </w:r>
            <w:proofErr w:type="spellEnd"/>
            <w:r w:rsidRPr="002911E8">
              <w:t xml:space="preserve"> Waldron urged that whatever might have been the position of </w:t>
            </w:r>
            <w:proofErr w:type="spellStart"/>
            <w:r w:rsidRPr="002911E8">
              <w:t>Pizzey</w:t>
            </w:r>
            <w:proofErr w:type="spellEnd"/>
            <w:r w:rsidRPr="002911E8">
              <w:t xml:space="preserve"> at the earlier period, that all changed after his death in 1942. Since 1947 at least when each of the defendants first observed the enclosed area, it was patent for all to see that the disputed area was enclosed and formed one with the garden then existent in lots 36 and 35. Until the defendants acquired the property in 1966, it was testified by them that there was no change in the condition of the disputed area or of the fencing onto the reserve. According to the evidence, however, the disputed area was throughout that period being used as a garden. The registered proprietors of lots 35 and 36 had the privilege of so using it as a garden and the views of Russell, LJ, are, therefore, peculiarly applicable to this circumstances. The only additional matters to the existence of the garden was, first, the continuous existence of the wire-netting fence which was much less in height than one would expect to be found around a tennis court, secondly, the presence of lamp posts, and thirdly, the presence of two clothes hoists in the disputed area. The presence of these features, it was said, should have indicated to the world, including </w:t>
            </w:r>
            <w:proofErr w:type="spellStart"/>
            <w:r w:rsidRPr="002911E8">
              <w:t>Keam</w:t>
            </w:r>
            <w:proofErr w:type="spellEnd"/>
            <w:r w:rsidRPr="002911E8">
              <w:t xml:space="preserve"> and his successors in title, that possession was taken by the persons then using the areas, namely the occupiers of lot 36. It was said that this constituted clear evidence to anyone that the persons using the facilities in the disputed area intended to take or have possession of the property adverse to the true owner and to exclude him from the disputed area. To this submission, </w:t>
            </w:r>
            <w:proofErr w:type="spellStart"/>
            <w:r w:rsidRPr="002911E8">
              <w:t>Mr.</w:t>
            </w:r>
            <w:proofErr w:type="spellEnd"/>
            <w:r w:rsidRPr="002911E8">
              <w:t xml:space="preserve"> Waldron further added the evidence of Brigadier Moran of the statement of Tom </w:t>
            </w:r>
            <w:proofErr w:type="spellStart"/>
            <w:r w:rsidRPr="002911E8">
              <w:t>Pizzey</w:t>
            </w:r>
            <w:proofErr w:type="spellEnd"/>
            <w:r w:rsidRPr="002911E8">
              <w:t xml:space="preserve"> made in or about 1950. At the time the evidence was given by Brigadier Moran I assumed, and I think </w:t>
            </w:r>
            <w:proofErr w:type="spellStart"/>
            <w:r w:rsidRPr="002911E8">
              <w:t>Mr.</w:t>
            </w:r>
            <w:proofErr w:type="spellEnd"/>
            <w:r w:rsidRPr="002911E8">
              <w:t xml:space="preserve"> Emery who was leading the evidence also assumed, that Tom </w:t>
            </w:r>
            <w:proofErr w:type="spellStart"/>
            <w:r w:rsidRPr="002911E8">
              <w:lastRenderedPageBreak/>
              <w:t>Pizzey</w:t>
            </w:r>
            <w:proofErr w:type="spellEnd"/>
            <w:r w:rsidRPr="002911E8">
              <w:t xml:space="preserve"> was the owner of lot 36 and in occupation of that block. It now turns out that according to the certificate of title, his wife was at that time the registered proprietor of lot 36, and it may be that strictly the evidence was not admissible. Nevertheless, it has been received, and immediately the question arises whether an inference should not be drawn that </w:t>
            </w:r>
            <w:proofErr w:type="spellStart"/>
            <w:r w:rsidRPr="002911E8">
              <w:t>Mrs.</w:t>
            </w:r>
            <w:proofErr w:type="spellEnd"/>
            <w:r w:rsidRPr="002911E8">
              <w:t xml:space="preserve"> </w:t>
            </w:r>
            <w:proofErr w:type="spellStart"/>
            <w:r w:rsidRPr="002911E8">
              <w:t>Pizzey</w:t>
            </w:r>
            <w:proofErr w:type="spellEnd"/>
            <w:r w:rsidRPr="002911E8">
              <w:t xml:space="preserve"> should be regarded as being the occupier of the garden in the disputed area. Or was it her husband in occupation of that area? Or was it that both of them were in joint occupation of the area? I am not prepared to speculate in this matter and I agree with Brigadier Moran who in cross-examination said he thought, in any event, the effect of the invitation for him to enclose an area was quite equivocal. I do not believe the conversation would justify me in drawing an inference that it was Tom </w:t>
            </w:r>
            <w:proofErr w:type="spellStart"/>
            <w:r w:rsidRPr="002911E8">
              <w:t>Pizzey's</w:t>
            </w:r>
            <w:proofErr w:type="spellEnd"/>
            <w:r w:rsidRPr="002911E8">
              <w:t xml:space="preserve"> intention and was in fact carried out by him to occupy the disputed area adverse to </w:t>
            </w:r>
            <w:proofErr w:type="spellStart"/>
            <w:r w:rsidRPr="002911E8">
              <w:t>Keam</w:t>
            </w:r>
            <w:proofErr w:type="spellEnd"/>
            <w:r w:rsidRPr="002911E8">
              <w:t xml:space="preserve">, or that he was in any event claiming to be in actual legal possession of the disputed area. His user of the disputed area at that time was quite consistent with his father's action and intentions. I therefore confine my attention to the matter other than the conversation with Tom </w:t>
            </w:r>
            <w:proofErr w:type="spellStart"/>
            <w:r w:rsidRPr="002911E8">
              <w:t>Pizzey</w:t>
            </w:r>
            <w:proofErr w:type="spellEnd"/>
            <w:r w:rsidRPr="002911E8">
              <w:t xml:space="preserve">. The continuous existence of the fence, with a gate at each end was in a situation somewhat similar to the fence in the George Wimpey and Co. Case. Its existence was quite equivocal, and it would be quite wrong, in my view, to suggest that at any stage it affected </w:t>
            </w:r>
            <w:proofErr w:type="spellStart"/>
            <w:r w:rsidRPr="002911E8">
              <w:t>Keam's</w:t>
            </w:r>
            <w:proofErr w:type="spellEnd"/>
            <w:r w:rsidRPr="002911E8">
              <w:t xml:space="preserve"> legal possession. In 1950, according to Brigadier Moran, the tennis court was still in existence, even if it were in a bad condition. It would be very difficult on that evidence to accept that at all periods up to 1966 it could not in fact have been resuscitated as a tennis court if anyone was minded to do so. It is true that trees were growing in the area, but according to the Brigadier's evidence, there was still in existence the court in its bad condition, as late as 1950, as he (and I think one other witness said), has seen such areas resuscitated as tennis courts. Furthermore, the continued existence of the fence may well have helped to protect the garden on the disputed area from wandering people or animals, or to prevent outsiders from dumping their rubbish in the garden area. This apparently had been a practice up till fairly late times, and the fence would have given the occupier of lot 36 some protection for his garden from such abuse. The predecessor to the defendants of lot 36 never at any time sought to claim title to the disputed area, and so far as the evidence goes, it would appear never sought to sell or assign any alleged possessory rights when they parted with lot 36. The </w:t>
            </w:r>
            <w:proofErr w:type="spellStart"/>
            <w:r w:rsidRPr="002911E8">
              <w:t>Pizzey</w:t>
            </w:r>
            <w:proofErr w:type="spellEnd"/>
            <w:r w:rsidRPr="002911E8">
              <w:t xml:space="preserve"> family was there for a long period. So far as the evidence goes there is no suggestion that the family sold or attempted to sell or to assign any right over the disputed area other than the easement granted by </w:t>
            </w:r>
            <w:proofErr w:type="spellStart"/>
            <w:r w:rsidRPr="002911E8">
              <w:t>Keam</w:t>
            </w:r>
            <w:proofErr w:type="spellEnd"/>
            <w:r w:rsidRPr="002911E8">
              <w:t>. The defendants themselves, when they entered into the contract of sale and purchase of lot 36 on 4 November 1966, only purchased lot 36, "together with all registered and appurtenant easements". This expression, of course, would permit them like their predecessors to use the disputed area as a garden. The existence of the fence could not enlarge this right which they acquired by transfer. The transfer was of a right user by way of easement and the contractual obligation of the vendors was not to give legal possession of the disputed area, but to give legal possession of lot 36 only. On the other hand, by the terms of the contract, the vendors were bound to transfer their appurtenant incorporeal rights. The presence of the clothes hoists and lamp posts can assist very little. On the evidence I am unable to say how long before 1966 the hoist and the lamp posts had been erected on the property. In any event, it is difficult to see why they should be regarded particularly as indicia of possession or dispossession. There was at that time quite a large garden lawfully in existence on the disputed area and enjoyed under an easement that I have referred to. The presence of a water reticulation system also does not appear to assist. It is difficult to say that the installation was not reasonably incidental to the enjoyment of the disputed area as a garden.</w:t>
            </w:r>
          </w:p>
          <w:p w:rsidR="002911E8" w:rsidRPr="002911E8" w:rsidRDefault="002911E8" w:rsidP="002911E8">
            <w:bookmarkStart w:id="40" w:name="TAACAAS"/>
            <w:bookmarkStart w:id="41" w:name="PAGE_568"/>
            <w:bookmarkEnd w:id="40"/>
            <w:bookmarkEnd w:id="41"/>
            <w:r w:rsidRPr="002911E8">
              <w:rPr>
                <w:i/>
                <w:iCs/>
              </w:rPr>
              <w:lastRenderedPageBreak/>
              <w:t>[1974] VR 547 at 568</w:t>
            </w:r>
          </w:p>
          <w:p w:rsidR="002911E8" w:rsidRPr="002911E8" w:rsidRDefault="002911E8" w:rsidP="002911E8">
            <w:r w:rsidRPr="002911E8">
              <w:t xml:space="preserve">Having regard to the circumstances under which the enclosure was made by </w:t>
            </w:r>
            <w:proofErr w:type="spellStart"/>
            <w:r w:rsidRPr="002911E8">
              <w:t>Pizzey</w:t>
            </w:r>
            <w:proofErr w:type="spellEnd"/>
            <w:r w:rsidRPr="002911E8">
              <w:t xml:space="preserve"> and the reasons for it, and because of the nature of the rights granted to the defendants and their predecessors in title of lot 36, and of the continuous user of the area for recreation as a tennis court and as a garden, which were the subjects of the easement, it seemed to me that a very clear case must be made out to establish actual legal possession by the residents of lot 36 to the disputed area adverse to the landowner so long as the disputed area appeared to be used for the purposes of the easement. No such clear case has been made out by the defendants. On the contrary, the scanty evidence placed before me was quite equivocal and on the authority of </w:t>
            </w:r>
            <w:proofErr w:type="spellStart"/>
            <w:r w:rsidRPr="002911E8">
              <w:t>Murnane</w:t>
            </w:r>
            <w:proofErr w:type="spellEnd"/>
            <w:r w:rsidRPr="002911E8">
              <w:t xml:space="preserve"> v Findlay, [1926] VLR 80; 31 ALR 480 and George Wimpey and Co. Ltd. v </w:t>
            </w:r>
            <w:proofErr w:type="spellStart"/>
            <w:r w:rsidRPr="002911E8">
              <w:t>Sohn</w:t>
            </w:r>
            <w:proofErr w:type="spellEnd"/>
            <w:proofErr w:type="gramStart"/>
            <w:r w:rsidRPr="002911E8">
              <w:t>,[</w:t>
            </w:r>
            <w:proofErr w:type="gramEnd"/>
            <w:r w:rsidRPr="002911E8">
              <w:t xml:space="preserve">1967] </w:t>
            </w:r>
            <w:proofErr w:type="spellStart"/>
            <w:r w:rsidRPr="002911E8">
              <w:t>Ch</w:t>
            </w:r>
            <w:proofErr w:type="spellEnd"/>
            <w:r w:rsidRPr="002911E8">
              <w:t xml:space="preserve"> 487; [1966] 1 All ER 232, I cannot find that the disputed area was in possession in the relevant sense of the defendants or their predecessors in title of lot 36 adverse to </w:t>
            </w:r>
            <w:proofErr w:type="spellStart"/>
            <w:r w:rsidRPr="002911E8">
              <w:t>Keam</w:t>
            </w:r>
            <w:proofErr w:type="spellEnd"/>
            <w:r w:rsidRPr="002911E8">
              <w:t xml:space="preserve">. On the contrary, the user of the disputed area was, in my view, a special enjoyment of the liberty granted to the owners of lot 36, and possibly to the owner of lot 35, in respect of the use of the reserve for recreation and/or a garden. Indeed, the evidence strongly suggests that the present owner of lot 35 still regards the disputed area as open to him for use by way of recreation. Unfortunately I did not hear any evidence from </w:t>
            </w:r>
            <w:proofErr w:type="spellStart"/>
            <w:r w:rsidRPr="002911E8">
              <w:t>Mr.</w:t>
            </w:r>
            <w:proofErr w:type="spellEnd"/>
            <w:r w:rsidRPr="002911E8">
              <w:t xml:space="preserve"> Watts as to his attitude or as to interest.</w:t>
            </w:r>
          </w:p>
          <w:p w:rsidR="002911E8" w:rsidRPr="002911E8" w:rsidRDefault="002911E8" w:rsidP="002911E8">
            <w:r w:rsidRPr="002911E8">
              <w:t xml:space="preserve">From the views I have ventured to express it follows that any application to the Registrar of Titles under s60 of the Transfer of Land Act 1958 must fail, and the defendants can find no support for a defence based on adverse possession by them and their predecessors in title of </w:t>
            </w:r>
            <w:proofErr w:type="spellStart"/>
            <w:r w:rsidRPr="002911E8">
              <w:t>lot</w:t>
            </w:r>
            <w:proofErr w:type="spellEnd"/>
            <w:r w:rsidRPr="002911E8">
              <w:t xml:space="preserve"> 36 of the disputed area. Furthermore, it renders it unnecessary to consider the provisions of s62 of the Transfer of Land Act, which were greatly relied upon by the defendants, not only in relation to obtaining an order vesting the disputed area in the defendants, but also in discharging any easements </w:t>
            </w:r>
            <w:proofErr w:type="spellStart"/>
            <w:r w:rsidRPr="002911E8">
              <w:t>thereover</w:t>
            </w:r>
            <w:proofErr w:type="spellEnd"/>
            <w:r w:rsidRPr="002911E8">
              <w:t xml:space="preserve"> which in the Registrar of Title's opinion had been abandoned for a period of 30 years.</w:t>
            </w:r>
          </w:p>
          <w:p w:rsidR="002911E8" w:rsidRPr="002911E8" w:rsidRDefault="002911E8" w:rsidP="002911E8">
            <w:r w:rsidRPr="002911E8">
              <w:t xml:space="preserve">(3) PLAINTIFFS' RIGHTS OVER THE DISPUTED AREA In this case, the land being under the provisions of the Transfer of Land Act 1958 and the plaintiffs, other than the Browns and the </w:t>
            </w:r>
            <w:proofErr w:type="spellStart"/>
            <w:r w:rsidRPr="002911E8">
              <w:t>Campbells</w:t>
            </w:r>
            <w:proofErr w:type="spellEnd"/>
            <w:r w:rsidRPr="002911E8">
              <w:t xml:space="preserve">, having a registered easement endorsed on their certificate of title over the whole reserve, including the disputed area, and the certificate of title of the reserve in the name of </w:t>
            </w:r>
            <w:proofErr w:type="spellStart"/>
            <w:r w:rsidRPr="002911E8">
              <w:t>Keam</w:t>
            </w:r>
            <w:proofErr w:type="spellEnd"/>
            <w:r w:rsidRPr="002911E8">
              <w:t xml:space="preserve"> bearing endorsements of the creation of easements contained in the various instruments of transfer, it is very difficult for the defendants to assert that the plaintiffs have abandoned their right over the disputed area: see Webster v Strong, [1926] VLR 509; 32 ALR 323. It was, however, strenuously (if somewhat laboriously) argued that since the repeal in 1954 of s68 of the Transfer of Land Act 1928, (a similar section in the 1915 consolidation) the authority of Webster v Strong can no longer be relied on, and, accordingly, proof of abandonment at common law of a registered easement could be established so to affect the incorporeal rights of persons who despite their titles have in law abandoned their easements. Several general comments might be made on the effect of the repeal of the Transfer of Land Act 1928 in 1954. First, </w:t>
            </w:r>
            <w:proofErr w:type="spellStart"/>
            <w:r w:rsidRPr="002911E8">
              <w:t>Mr.</w:t>
            </w:r>
            <w:proofErr w:type="spellEnd"/>
            <w:r w:rsidRPr="002911E8">
              <w:t xml:space="preserve"> </w:t>
            </w:r>
            <w:proofErr w:type="spellStart"/>
            <w:r w:rsidRPr="002911E8">
              <w:t>Voumard</w:t>
            </w:r>
            <w:proofErr w:type="spellEnd"/>
            <w:r w:rsidRPr="002911E8">
              <w:t xml:space="preserve"> in his book on Vendor and Purchaser, 2nd ed., at p. 488 (see also p. 405) expressed the opinion that the authority of Webster v Strong had not been affected in any way by the alterations to the Transfer of Land Act in 1954 and that so long as the easement remained on the certificate of title of the dominant tenement, it constituted conclusive evidence that the person named therein is entitled to that easement, even though he might appear to have abandoned his easement at common law. Secondly, it should be remembered that the instruments </w:t>
            </w:r>
            <w:r w:rsidRPr="002911E8">
              <w:lastRenderedPageBreak/>
              <w:t xml:space="preserve">of transfer and the creation of easements by </w:t>
            </w:r>
            <w:proofErr w:type="spellStart"/>
            <w:r w:rsidRPr="002911E8">
              <w:t>Keam</w:t>
            </w:r>
            <w:proofErr w:type="spellEnd"/>
            <w:r w:rsidRPr="002911E8">
              <w:t xml:space="preserve"> therein were registered under the provisions of the Transfer of Land Act 1915, and, accordingly, the effect of the registration in so far as it conferred rights on the transferees and imposed duties on the transferors, should be ascertained by the statutory provisions then prevailing. The creation of the easement and the endorsement of that easement on the various titles would have been governed by the then existing law. Except as expressly or by necessary implication, it should be provided to the contrary in the 1954 Act, the repeal of s68 should not affect the continuity of the status, operation or effect of any instrument lodged or of any certificate endorsed or any right given under the provisions of the repealed Act: see s2 of the Transfer of Land Act 1928 and </w:t>
            </w:r>
            <w:proofErr w:type="gramStart"/>
            <w:r w:rsidRPr="002911E8">
              <w:t>s2(</w:t>
            </w:r>
            <w:proofErr w:type="gramEnd"/>
            <w:r w:rsidRPr="002911E8">
              <w:t xml:space="preserve">2) of Transfer of Land Act 1954. Thirdly, it is a nice question whether any person other than the owner of the </w:t>
            </w:r>
            <w:proofErr w:type="spellStart"/>
            <w:r w:rsidRPr="002911E8">
              <w:t>servient</w:t>
            </w:r>
            <w:proofErr w:type="spellEnd"/>
            <w:r w:rsidRPr="002911E8">
              <w:t xml:space="preserve"> tenement could establish </w:t>
            </w:r>
            <w:proofErr w:type="gramStart"/>
            <w:r w:rsidRPr="002911E8">
              <w:t>an abandonment</w:t>
            </w:r>
            <w:proofErr w:type="gramEnd"/>
            <w:r w:rsidRPr="002911E8">
              <w:t xml:space="preserve"> by the owner of the dominant tenement of an incorporeal hereditament over the </w:t>
            </w:r>
            <w:proofErr w:type="spellStart"/>
            <w:r w:rsidRPr="002911E8">
              <w:t>servient</w:t>
            </w:r>
            <w:proofErr w:type="spellEnd"/>
            <w:r w:rsidRPr="002911E8">
              <w:t xml:space="preserve"> tenement. Here the allegation is being made by a person having a similar incorporeal right over the disputed area against all other persons entitled to the same incorporeal right over the Reserve.</w:t>
            </w:r>
          </w:p>
          <w:p w:rsidR="002911E8" w:rsidRPr="002911E8" w:rsidRDefault="002911E8" w:rsidP="002911E8">
            <w:bookmarkStart w:id="42" w:name="TAACAAT"/>
            <w:bookmarkStart w:id="43" w:name="PAGE_569"/>
            <w:bookmarkEnd w:id="42"/>
            <w:bookmarkEnd w:id="43"/>
            <w:r w:rsidRPr="002911E8">
              <w:rPr>
                <w:i/>
                <w:iCs/>
              </w:rPr>
              <w:t>[1974] VR 547 at 569</w:t>
            </w:r>
          </w:p>
          <w:p w:rsidR="002911E8" w:rsidRPr="002911E8" w:rsidRDefault="002911E8" w:rsidP="002911E8">
            <w:r w:rsidRPr="002911E8">
              <w:t xml:space="preserve">I would have been content to adopt </w:t>
            </w:r>
            <w:proofErr w:type="spellStart"/>
            <w:r w:rsidRPr="002911E8">
              <w:t>Mr.</w:t>
            </w:r>
            <w:proofErr w:type="spellEnd"/>
            <w:r w:rsidRPr="002911E8">
              <w:t xml:space="preserve"> </w:t>
            </w:r>
            <w:proofErr w:type="spellStart"/>
            <w:r w:rsidRPr="002911E8">
              <w:t>Voumard's</w:t>
            </w:r>
            <w:proofErr w:type="spellEnd"/>
            <w:r w:rsidRPr="002911E8">
              <w:t xml:space="preserve"> view but it was valiantly attacked by the defendants' counsel as being </w:t>
            </w:r>
            <w:proofErr w:type="gramStart"/>
            <w:r w:rsidRPr="002911E8">
              <w:t>erroneous,</w:t>
            </w:r>
            <w:proofErr w:type="gramEnd"/>
            <w:r w:rsidRPr="002911E8">
              <w:t xml:space="preserve"> and in deference to his argument, I shall examine the matter for myself.</w:t>
            </w:r>
          </w:p>
          <w:p w:rsidR="002911E8" w:rsidRPr="002911E8" w:rsidRDefault="002911E8" w:rsidP="002911E8">
            <w:r w:rsidRPr="002911E8">
              <w:t xml:space="preserve">Two questions appear to arise for investigation. First, did the plaintiffs or any of them at common law either abandon or impliedly release their rights of user of the disputed area as a part of the reserve over which </w:t>
            </w:r>
            <w:proofErr w:type="spellStart"/>
            <w:r w:rsidRPr="002911E8">
              <w:t>Keam</w:t>
            </w:r>
            <w:proofErr w:type="spellEnd"/>
            <w:r w:rsidRPr="002911E8">
              <w:t xml:space="preserve"> had created the easement? Secondly, assuming that such rights were so affected, is there any provision in the Transfer of Land Act 1958 (which, of course, does not contain s68 referred to above) that requires the Court to accept the notification on the certificates of title of the plaintiffs, other than the Brown and the </w:t>
            </w:r>
            <w:proofErr w:type="spellStart"/>
            <w:r w:rsidRPr="002911E8">
              <w:t>Campbells</w:t>
            </w:r>
            <w:proofErr w:type="spellEnd"/>
            <w:r w:rsidRPr="002911E8">
              <w:t xml:space="preserve">, either as evidence of or as conclusive evidence of the plaintiffs' present right to the easement granted, despite conduct which at common law would constitute an abandonment or extinguishment of their rights? As to the first question, it was submitted by the defendants that the evidence established that for over 40 years the disputed area had been enclosed by a wire-netting fence, with gates at each end, and, accordingly, it was improbable that any person entitled to the easement to enjoy the reserve for recreation or a garden or a park, other than the owners of lots 35 and 36, had either entered, walked through or used the disputed area in any way. When the enclosure was first made, of course, there were few houses in the neighbourhood and it is unknown how many people </w:t>
            </w:r>
            <w:proofErr w:type="spellStart"/>
            <w:r w:rsidRPr="002911E8">
              <w:t>Pizzey</w:t>
            </w:r>
            <w:proofErr w:type="spellEnd"/>
            <w:r w:rsidRPr="002911E8">
              <w:t xml:space="preserve"> promised, as he did to Brigadier Moran, that they were to use the tennis court, or how many people, other than the </w:t>
            </w:r>
            <w:proofErr w:type="spellStart"/>
            <w:r w:rsidRPr="002911E8">
              <w:t>Pizzey</w:t>
            </w:r>
            <w:proofErr w:type="spellEnd"/>
            <w:r w:rsidRPr="002911E8">
              <w:t xml:space="preserve"> family, in fact used the tennis court. Furthermore, it was pointed out that in the thirties the reserve was used as a dumping ground or tip, and as houses were built it would be unlikely residents would go very far from their own lots. In this context, the words of Viscount Dunedin, speaking for the Privy Council in Keewatin Power Co. Ltd. v Lake of the Woods Milling Co. Ltd., [1930] AC 640, at p. 657, should be remembered. He said:</w:t>
            </w:r>
          </w:p>
          <w:p w:rsidR="002911E8" w:rsidRPr="002911E8" w:rsidRDefault="002911E8" w:rsidP="002911E8">
            <w:r w:rsidRPr="002911E8">
              <w:t xml:space="preserve">"When you are dealing with grant, a grantee may always, if he chooses, not exercise his rights under the grant to the full without in any way prejudicing his full right if he finds it convenient to use it." See also </w:t>
            </w:r>
            <w:proofErr w:type="spellStart"/>
            <w:r w:rsidRPr="002911E8">
              <w:t>Bulstrode</w:t>
            </w:r>
            <w:proofErr w:type="spellEnd"/>
            <w:r w:rsidRPr="002911E8">
              <w:t xml:space="preserve"> v Lambert, [1953] 2 All ER 728.</w:t>
            </w:r>
          </w:p>
          <w:p w:rsidR="002911E8" w:rsidRPr="002911E8" w:rsidRDefault="002911E8" w:rsidP="002911E8">
            <w:bookmarkStart w:id="44" w:name="TAACAAU"/>
            <w:bookmarkStart w:id="45" w:name="PAGE_570"/>
            <w:bookmarkEnd w:id="44"/>
            <w:bookmarkEnd w:id="45"/>
            <w:r w:rsidRPr="002911E8">
              <w:rPr>
                <w:i/>
                <w:iCs/>
              </w:rPr>
              <w:lastRenderedPageBreak/>
              <w:t>[1974] VR 547 at 570</w:t>
            </w:r>
          </w:p>
          <w:p w:rsidR="002911E8" w:rsidRPr="002911E8" w:rsidRDefault="002911E8" w:rsidP="002911E8">
            <w:r w:rsidRPr="002911E8">
              <w:t>It would be improbable that the lot owners would wander at large through the whole reserve area. On the other hand, if one takes Brigadier Moran as an example, there may be many lot holders who could not take advantage of their privilege for a period over 20 years for various reasons. It might equally be accepted that residents would rarely use every square inch of the area for the specified purposes. It is probable that residents would only use the area convenient for their purpose, and not go to parts more remote from their habitation. The great majority, if not all, would respect the privacy of the residents by not prying into their backyards, or passing over those portions of the reserve immediately abutting onto the rear of the lots. In other words, the occasion would be rare for any lot holder to make any particular claim to any particular part of the reserve, or for that matter, for any lot-holder to use every part of the reserve for one of the specified purposes. In other words, not too much should be inferred from non-user of any particular part of the reserve (and in this case, of the disputed area) for a long period of time. If a garden were extended out with trees and shrubs at the rear of any particular lot for 40-odd feet, it would rarely, in fact, cause inconvenience to other residents. On the contrary, the other residents may get some aesthetic pleasure from a beautiful garden, open to their observation through a wire-netting fence, and also obtain the beneficial effects of a shady walk created by any large trees placed on that portion of the reserve. The wire- netting around the disputed area would not obstruct the view of the passers-by of the trees, shrubs and garden, and from the photographs produced it would appear that a magnificent green shady area was created for the benefit of the users of the reserve, without their actually having to walk onto the disputed area.</w:t>
            </w:r>
          </w:p>
          <w:p w:rsidR="002911E8" w:rsidRPr="002911E8" w:rsidRDefault="002911E8" w:rsidP="002911E8">
            <w:r w:rsidRPr="002911E8">
              <w:t xml:space="preserve">In my view, therefore, mere non-user of the disputed area can afford little assistance to infer the abandonment by any plaintiff or his predecessor in title of his right over that part of the reserve. The mere non-user was consistent with the development over a long period of the reserve area, as houses were built on the lots abutting on to the reserve. It was also consistent with the nature and exploitation of the easements granted. As was said by Lord Chelmsford, LC, in the oft-repeated passage from </w:t>
            </w:r>
            <w:proofErr w:type="spellStart"/>
            <w:r w:rsidRPr="002911E8">
              <w:t>Crossley</w:t>
            </w:r>
            <w:proofErr w:type="spellEnd"/>
            <w:r w:rsidRPr="002911E8">
              <w:t xml:space="preserve"> and Sons Ltd. v </w:t>
            </w:r>
            <w:proofErr w:type="spellStart"/>
            <w:r w:rsidRPr="002911E8">
              <w:t>Lightowler</w:t>
            </w:r>
            <w:proofErr w:type="spellEnd"/>
            <w:r w:rsidRPr="002911E8">
              <w:t xml:space="preserve"> (1867) 2 </w:t>
            </w:r>
            <w:proofErr w:type="spellStart"/>
            <w:r w:rsidRPr="002911E8">
              <w:t>Ch</w:t>
            </w:r>
            <w:proofErr w:type="spellEnd"/>
            <w:r w:rsidRPr="002911E8">
              <w:t xml:space="preserve"> App 478 at p. 482: "The authorities upon the subject of abandonment have decided that a mere suspension of the exercise of a right is not sufficient to prove an intention to abandon it. But a long-continued suspension may render it necessary for the person claiming the right to show that some indication was given during the period that he ceased to use the right of his intention to preserve it. The question of abandonment of a right is one of intention, to be decided upon the facts of each particular case." See also Ward v Ward (1852) 7 </w:t>
            </w:r>
            <w:proofErr w:type="spellStart"/>
            <w:r w:rsidRPr="002911E8">
              <w:t>Exch</w:t>
            </w:r>
            <w:proofErr w:type="spellEnd"/>
            <w:r w:rsidRPr="002911E8">
              <w:t xml:space="preserve"> 838; 155 ER 1189; Cook v Mayor and Corporation of Bath (1868) LR 6 </w:t>
            </w:r>
            <w:proofErr w:type="spellStart"/>
            <w:r w:rsidRPr="002911E8">
              <w:t>Eq</w:t>
            </w:r>
            <w:proofErr w:type="spellEnd"/>
            <w:r w:rsidRPr="002911E8">
              <w:t xml:space="preserve"> 177, at pp. 179-80; James v Stevenson, [1893] AC 162, at p. 168; Clement v Jones (1909) 8 CLR 133; 15 ALR 158; Re Marriott, [1968] VR 260, at p. 273.</w:t>
            </w:r>
          </w:p>
          <w:p w:rsidR="002911E8" w:rsidRPr="002911E8" w:rsidRDefault="002911E8" w:rsidP="002911E8">
            <w:r w:rsidRPr="002911E8">
              <w:t>While a long period of apparent non-user is very important, it is not conclusive. The circumstances must be examined. The vital question is one of intention to be established generally by circumstantial evidence, including evidence of the reasons, if any, for any non-user.</w:t>
            </w:r>
          </w:p>
          <w:p w:rsidR="002911E8" w:rsidRPr="002911E8" w:rsidRDefault="002911E8" w:rsidP="002911E8">
            <w:bookmarkStart w:id="46" w:name="TAACAAV"/>
            <w:bookmarkStart w:id="47" w:name="PAGE_571"/>
            <w:bookmarkEnd w:id="46"/>
            <w:bookmarkEnd w:id="47"/>
            <w:r w:rsidRPr="002911E8">
              <w:rPr>
                <w:i/>
                <w:iCs/>
              </w:rPr>
              <w:t>[1974] VR 547 at 571</w:t>
            </w:r>
          </w:p>
          <w:p w:rsidR="002911E8" w:rsidRPr="002911E8" w:rsidRDefault="002911E8" w:rsidP="002911E8">
            <w:r w:rsidRPr="002911E8">
              <w:t xml:space="preserve">Chief Baron Pollock in Ward's Case (1852) 7 </w:t>
            </w:r>
            <w:proofErr w:type="spellStart"/>
            <w:r w:rsidRPr="002911E8">
              <w:t>Exch</w:t>
            </w:r>
            <w:proofErr w:type="spellEnd"/>
            <w:r w:rsidRPr="002911E8">
              <w:t xml:space="preserve"> 838; 155 ER 1189, expressed a view which is apposite to the circumstances of this case. He said at (</w:t>
            </w:r>
            <w:proofErr w:type="spellStart"/>
            <w:r w:rsidRPr="002911E8">
              <w:t>Exch</w:t>
            </w:r>
            <w:proofErr w:type="spellEnd"/>
            <w:r w:rsidRPr="002911E8">
              <w:t xml:space="preserve">) p. 839; "The only inference that could </w:t>
            </w:r>
            <w:r w:rsidRPr="002911E8">
              <w:lastRenderedPageBreak/>
              <w:t>reasonably be drawn from the non-user of the party is, that he had no occasion for it".</w:t>
            </w:r>
          </w:p>
          <w:p w:rsidR="002911E8" w:rsidRPr="002911E8" w:rsidRDefault="002911E8" w:rsidP="002911E8">
            <w:r w:rsidRPr="002911E8">
              <w:t xml:space="preserve">Having regard to the sketchy nature of the history of the plan of subdivision, so it may be said here that the only inference to be drawn from the evidence is that nothing occurred over the years to require any lot owner to assert his right over all the reserve. It was a case of mere non-user of the disputed area, as it must have been with many other parts of the reserve. There was no occasion to assert the right over the disputed area and no evidence of any intention on the part of any plaintiff to abandon the rights conferred by </w:t>
            </w:r>
            <w:proofErr w:type="spellStart"/>
            <w:r w:rsidRPr="002911E8">
              <w:t>Keam</w:t>
            </w:r>
            <w:proofErr w:type="spellEnd"/>
            <w:r w:rsidRPr="002911E8">
              <w:t xml:space="preserve">. Indeed, the plaintiffs at any time prior to the correspondence with </w:t>
            </w:r>
            <w:proofErr w:type="spellStart"/>
            <w:r w:rsidRPr="002911E8">
              <w:t>Mr.</w:t>
            </w:r>
            <w:proofErr w:type="spellEnd"/>
            <w:r w:rsidRPr="002911E8">
              <w:t xml:space="preserve"> </w:t>
            </w:r>
            <w:proofErr w:type="spellStart"/>
            <w:proofErr w:type="gramStart"/>
            <w:r w:rsidRPr="002911E8">
              <w:t>Penttila</w:t>
            </w:r>
            <w:proofErr w:type="spellEnd"/>
            <w:r w:rsidRPr="002911E8">
              <w:t>,</w:t>
            </w:r>
            <w:proofErr w:type="gramEnd"/>
            <w:r w:rsidRPr="002911E8">
              <w:t xml:space="preserve"> would have been in difficulties in challenging the user of the disputed area. It was only when the defendants commenced to build the swimming pool that there was a confrontation. The building of the pool itself might have been justified as an act of recreation if the defendants had, like </w:t>
            </w:r>
            <w:proofErr w:type="spellStart"/>
            <w:r w:rsidRPr="002911E8">
              <w:t>Pizzey</w:t>
            </w:r>
            <w:proofErr w:type="spellEnd"/>
            <w:r w:rsidRPr="002911E8">
              <w:t>, made it clear that it was not intended to alienate the disputed area from the reserve, but the pool was intended to be a communal benefit for all the lot-holders contiguous to the reserve. But the defendants have claimed title and exclusive possession of the disputed area.</w:t>
            </w:r>
          </w:p>
          <w:p w:rsidR="002911E8" w:rsidRPr="002911E8" w:rsidRDefault="002911E8" w:rsidP="002911E8">
            <w:r w:rsidRPr="002911E8">
              <w:t>In this regard, I suppose, reference should again be made to the presence of the clothes hoists and the lamp posts. If any lot-holder, because of the presence of such installations, had challenged, say, Johnson, as to the user of the disputed area as being contrary to their rights and Johnson had pleaded in defence that he was using the disputed area as a garden, which in fact it was (as the defendants gave evidence), the presence of such installations, if they were there, would not have afforded any reason for the offended lot-owners to get a remedy for infringement of their easement. The actual interference, if any, to their physical enjoyment would have been the presence of the garden, not the installation of the clothes hoists or the lamp posts. For reasons I have already given, it would appear to me that Johnson would have been quite entitled to use the restricted area for a garden on the reserve. The other matters would have been regarded as trifling incidentals unless, of course, Johnson had asserted that he had erected them there because he believed he was the owner in fee simple by adverse possession.</w:t>
            </w:r>
          </w:p>
          <w:p w:rsidR="002911E8" w:rsidRPr="002911E8" w:rsidRDefault="002911E8" w:rsidP="002911E8">
            <w:r w:rsidRPr="002911E8">
              <w:t>Whilst the long period of enclosure may be regarded as very significant, as Lord Chelmsford emphasized, it should be noticed that the period of non-user in this case was of a similar length to the non-user in Ward's Case and in Cook's Case. The authorities require an investigation of the circumstances to obtain, if possible, the probable reasons for and any explanation of the non-user from which might be inferred the intention of the grantee not using in a particular way the easement conferred on him.</w:t>
            </w:r>
          </w:p>
          <w:p w:rsidR="002911E8" w:rsidRPr="002911E8" w:rsidRDefault="002911E8" w:rsidP="002911E8">
            <w:r w:rsidRPr="002911E8">
              <w:t>So in this case, for the reasons I have ventured to give, although there was very long period during which probably the plaintiffs and their predecessors in title did not actually go upon the disputed area for the specified purposes of their "liberty", or perhaps did not use it in the sense of getting the pleasure out of observing it as a beautiful garden, or even as a shady walk, nevertheless no inference should be drawn in all the circumstances that by such non-user the plaintiffs intended to abandon their rights. I repeat, there must have been other parts of the reserve which they have not used and no inference should be drawn against them in relation to such areas.</w:t>
            </w:r>
          </w:p>
          <w:p w:rsidR="002911E8" w:rsidRPr="002911E8" w:rsidRDefault="002911E8" w:rsidP="002911E8">
            <w:bookmarkStart w:id="48" w:name="TAACAAW"/>
            <w:bookmarkStart w:id="49" w:name="PAGE_572"/>
            <w:bookmarkEnd w:id="48"/>
            <w:bookmarkEnd w:id="49"/>
            <w:r w:rsidRPr="002911E8">
              <w:rPr>
                <w:i/>
                <w:iCs/>
              </w:rPr>
              <w:t>[1974] VR 547 at 572</w:t>
            </w:r>
          </w:p>
          <w:p w:rsidR="002911E8" w:rsidRPr="002911E8" w:rsidRDefault="002911E8" w:rsidP="002911E8">
            <w:r w:rsidRPr="002911E8">
              <w:t xml:space="preserve">Whilst the Court should always be suspicious of any subjective evidence by a witness in the box of </w:t>
            </w:r>
            <w:r w:rsidRPr="002911E8">
              <w:lastRenderedPageBreak/>
              <w:t xml:space="preserve">his or her intentions, and, therefore, should always closely scrutinize such evidence, I do, nevertheless, accept Brigadier Moran's testimony that he never intended to abandon his right over the disputed area. He agreed with counsel that in retrospect he had made a mistake in allowing </w:t>
            </w:r>
            <w:proofErr w:type="spellStart"/>
            <w:r w:rsidRPr="002911E8">
              <w:t>Pizzey</w:t>
            </w:r>
            <w:proofErr w:type="spellEnd"/>
            <w:r w:rsidRPr="002911E8">
              <w:t xml:space="preserve"> to enclose the area, but such agreement did not carry with it any implication that at any time he had abandoned his rights. On the contrary, Brigadier Moran in cross-examination asserted that he believed he had the right to go upon the disputed area, but he had had no occasion to do so.</w:t>
            </w:r>
          </w:p>
          <w:p w:rsidR="002911E8" w:rsidRPr="002911E8" w:rsidRDefault="002911E8" w:rsidP="002911E8">
            <w:r w:rsidRPr="002911E8">
              <w:t xml:space="preserve">Having regard to these views, I am not satisfied that the fact of non-user of the disputed area by the plaintiffs for a long period constituted proof of abandonment or implied release by them of their easement. I should also perhaps reiterate that in this case, unlike the cases referred to above, the abandonment of the rights was being alleged not by the owner of the </w:t>
            </w:r>
            <w:proofErr w:type="spellStart"/>
            <w:r w:rsidRPr="002911E8">
              <w:t>servient</w:t>
            </w:r>
            <w:proofErr w:type="spellEnd"/>
            <w:r w:rsidRPr="002911E8">
              <w:t xml:space="preserve"> tenement, but by the grantee of a similar easement.</w:t>
            </w:r>
          </w:p>
          <w:p w:rsidR="002911E8" w:rsidRPr="002911E8" w:rsidRDefault="002911E8" w:rsidP="002911E8">
            <w:r w:rsidRPr="002911E8">
              <w:t>It was perhaps for this very reason, so it now appears to me, that so much time was taken and so great amount of argument was advanced to establish that the defendants were the owners in fee simple of the disputed area by adverse possession, thereby to be able to invoke s60, s61, 62 of the Transfer of Land Act 1958 to get rid of the easement subsisting over the land. I have already rejected that argument of the defendants, and in so far as it is necessary to make any finding of fact based on the proper inference to be drawn from the evidence, I am satisfied there was no abandonment of the easement by those plaintiffs, who, by their certificates of title, are entitled to the easement.</w:t>
            </w:r>
          </w:p>
          <w:p w:rsidR="002911E8" w:rsidRPr="002911E8" w:rsidRDefault="002911E8" w:rsidP="002911E8">
            <w:r w:rsidRPr="002911E8">
              <w:t xml:space="preserve">Accordingly, it becomes unnecessary for me to determine whether the defendants, not being the owners in fee simple of the </w:t>
            </w:r>
            <w:proofErr w:type="spellStart"/>
            <w:r w:rsidRPr="002911E8">
              <w:t>servient</w:t>
            </w:r>
            <w:proofErr w:type="spellEnd"/>
            <w:r w:rsidRPr="002911E8">
              <w:t xml:space="preserve"> tenement, had any locus </w:t>
            </w:r>
            <w:proofErr w:type="spellStart"/>
            <w:r w:rsidRPr="002911E8">
              <w:t>standi</w:t>
            </w:r>
            <w:proofErr w:type="spellEnd"/>
            <w:r w:rsidRPr="002911E8">
              <w:t xml:space="preserve"> to claim that the plaintiffs had abandoned or impliedly released their easement in relation to the disputed area.</w:t>
            </w:r>
          </w:p>
          <w:p w:rsidR="002911E8" w:rsidRPr="002911E8" w:rsidRDefault="002911E8" w:rsidP="002911E8">
            <w:r w:rsidRPr="002911E8">
              <w:t xml:space="preserve">Finally, it was urged that under the provisions of the Transfer of Land Act by virtue of s73 proof of non-user of an easement for a period of 30 years constituted sufficient evidence that the easement had been abandoned. Accordingly it was said the defendants were entitled to apply to the Registrar of Titles, who would be required to make the necessary amendments to the register unless there was brought to his notice evidence to indicate that the easement in fact had not been abandoned: see </w:t>
            </w:r>
            <w:proofErr w:type="spellStart"/>
            <w:r w:rsidRPr="002911E8">
              <w:t>Voumard</w:t>
            </w:r>
            <w:proofErr w:type="spellEnd"/>
            <w:r w:rsidRPr="002911E8">
              <w:t xml:space="preserve">, Sale of Land, 2nd ed., p. 487. The argument must fail for several reasons. First, s73 confers the right only on a registered proprietor of land to make the application to remove an easement in whole or in part where it has been abandoned or extinguished. In my opinion, this right to apply to remove the easement is confined only to the registered proprietor of a </w:t>
            </w:r>
            <w:proofErr w:type="spellStart"/>
            <w:r w:rsidRPr="002911E8">
              <w:t>servient</w:t>
            </w:r>
            <w:proofErr w:type="spellEnd"/>
            <w:r w:rsidRPr="002911E8">
              <w:t xml:space="preserve"> tenement. Since the defendants are not registered proprietors of the disputed area, they are not entitled to apply to remove the easement subsisting over that land. Again, perhaps, it can be seen why the defendants were at pains to establish that they were entitled to the fee simple of the disputed area by adverse possession. A vesting order under s61 would have constituted them registered proprietors for the purposes of s73.</w:t>
            </w:r>
          </w:p>
          <w:p w:rsidR="002911E8" w:rsidRPr="002911E8" w:rsidRDefault="002911E8" w:rsidP="002911E8">
            <w:r w:rsidRPr="002911E8">
              <w:t xml:space="preserve">Secondly, in my view, the case of Webster v Strong, [1926] VLR 509; [1926] ALR 323, concludes the matter against the defendants in this litigation. The Full Court there held that since a certificate of title stated that appurtenant to the land owned by the registered proprietor was a right of carriageway which had not been used as such for some 40 years, the statement in the certificate of title nevertheless was conclusive evidence that the registered proprietor, despite such non-user, was entitled to a right of carriageway. It is true, as counsel for the defendants has pointed out, the </w:t>
            </w:r>
            <w:r w:rsidRPr="002911E8">
              <w:lastRenderedPageBreak/>
              <w:t xml:space="preserve">Transfer of Land Act has been altered, and from the report of counsel's argument in Webster v Strong at (VLR) pp. 512-3; [1926] ALR 323, it would appear that it was probably the provisions of s68 (above) that the Full Court followed to base its decision. Irrespective of what rights were created by registration of the instruments of transfer under the Transfer of Land Act 1915, I do not believe that the repeal of s68 concludes the matter, even under the present legislation, as </w:t>
            </w:r>
            <w:proofErr w:type="spellStart"/>
            <w:r w:rsidRPr="002911E8">
              <w:t>Mr.</w:t>
            </w:r>
            <w:proofErr w:type="spellEnd"/>
            <w:r w:rsidRPr="002911E8">
              <w:t xml:space="preserve"> </w:t>
            </w:r>
            <w:proofErr w:type="spellStart"/>
            <w:r w:rsidRPr="002911E8">
              <w:t>Voumard</w:t>
            </w:r>
            <w:proofErr w:type="spellEnd"/>
            <w:r w:rsidRPr="002911E8">
              <w:t xml:space="preserve"> has pointed out.</w:t>
            </w:r>
          </w:p>
          <w:p w:rsidR="002911E8" w:rsidRPr="002911E8" w:rsidRDefault="002911E8" w:rsidP="002911E8">
            <w:bookmarkStart w:id="50" w:name="TAACAAX"/>
            <w:bookmarkStart w:id="51" w:name="PAGE_573"/>
            <w:bookmarkEnd w:id="50"/>
            <w:bookmarkEnd w:id="51"/>
            <w:r w:rsidRPr="002911E8">
              <w:rPr>
                <w:i/>
                <w:iCs/>
              </w:rPr>
              <w:t>[1974] VR 547 at 573</w:t>
            </w:r>
          </w:p>
          <w:p w:rsidR="002911E8" w:rsidRPr="002911E8" w:rsidRDefault="002911E8" w:rsidP="002911E8">
            <w:r w:rsidRPr="002911E8">
              <w:t xml:space="preserve">S72 provides that a certificate of title may contain a statement to the effect that the land has appurtenant thereto an easement. The certificate of title of the plaintiffs, other than the Browns and the </w:t>
            </w:r>
            <w:proofErr w:type="spellStart"/>
            <w:r w:rsidRPr="002911E8">
              <w:t>Campbells</w:t>
            </w:r>
            <w:proofErr w:type="spellEnd"/>
            <w:r w:rsidRPr="002911E8">
              <w:t xml:space="preserve">, contain this statement in relation to the reserve. By s41 every certificate of title registered under the Act should be received in all courts as evidence of the particulars therein and of the entry thereof in the register book. Attention was properly, if somewhat ponderously, drawn by counsel to the well-known distinction to be made between "land" strictly so-called and incorporeal hereditaments appurtenant thereto: cf. the rating cases of Chelsea Waterworks Co. v </w:t>
            </w:r>
            <w:proofErr w:type="spellStart"/>
            <w:r w:rsidRPr="002911E8">
              <w:t>Bowley</w:t>
            </w:r>
            <w:proofErr w:type="spellEnd"/>
            <w:r w:rsidRPr="002911E8">
              <w:t xml:space="preserve"> (1851) 17 QB 358; 117 ER 1316; Metropolitan Railway Co. v Fowler</w:t>
            </w:r>
            <w:proofErr w:type="gramStart"/>
            <w:r w:rsidRPr="002911E8">
              <w:t>,[</w:t>
            </w:r>
            <w:proofErr w:type="gramEnd"/>
            <w:r w:rsidRPr="002911E8">
              <w:t xml:space="preserve">1893] AC 416, at p. 421, and Borough of Glebe v </w:t>
            </w:r>
            <w:proofErr w:type="spellStart"/>
            <w:r w:rsidRPr="002911E8">
              <w:t>Lukey</w:t>
            </w:r>
            <w:proofErr w:type="spellEnd"/>
            <w:r w:rsidRPr="002911E8">
              <w:t xml:space="preserve"> (1904) 1 CLR 158.</w:t>
            </w:r>
          </w:p>
          <w:p w:rsidR="002911E8" w:rsidRPr="002911E8" w:rsidRDefault="002911E8" w:rsidP="002911E8">
            <w:r w:rsidRPr="002911E8">
              <w:t xml:space="preserve">The argument was advanced that under s41 the certificate of title was only conclusive evidence that the person named therein in the certificate is </w:t>
            </w:r>
            <w:proofErr w:type="spellStart"/>
            <w:r w:rsidRPr="002911E8">
              <w:t>seised</w:t>
            </w:r>
            <w:proofErr w:type="spellEnd"/>
            <w:r w:rsidRPr="002911E8">
              <w:t xml:space="preserve"> or possessed of the estate or interest in the land referred to. It was pointed out that the words did not refer to appurtenant easements. But this begs the question. By the provisions of s41, it is true that the certificate of title is declared to be conclusive evidence that the person named therein has a specified entitlement to an estate in a piece of land to which, in a case like the present, may have attached to it an easement appurtenant as evidenced by the particulars set out in the certificate of title. The easement so notified is to be enjoyed with the exercise of the proprietary rights in the land. Accordingly, if the person named therein is described as having rights in fee simple, that statement is conclusive evidence of the nature of his title. But if the certificate further states that appurtenant to such estate there is a specified easement, then according to the provisions of the Transfer of Land Act and the policy to be derived therefrom, the easement notified on title continues effective as an appurtenant easement to such estate, until it is removed by the Registrar under the provisions of the Transfer of Land Act, such as to be found in s73. As Barwick, CJ, said in </w:t>
            </w:r>
            <w:proofErr w:type="spellStart"/>
            <w:r w:rsidRPr="002911E8">
              <w:t>Breskvar</w:t>
            </w:r>
            <w:proofErr w:type="spellEnd"/>
            <w:r w:rsidRPr="002911E8">
              <w:t xml:space="preserve"> v Wall (1972) 46 ALJR 68, at p. 70; [1972] ALR 205. "The Torrens system of registered title...is not a system of registration of title, but a system of title by registration". Thus, </w:t>
            </w:r>
            <w:proofErr w:type="gramStart"/>
            <w:r w:rsidRPr="002911E8">
              <w:t>s40(</w:t>
            </w:r>
            <w:proofErr w:type="gramEnd"/>
            <w:r w:rsidRPr="002911E8">
              <w:t>1) provides that upon registration of an instrument any encumbrances shall be created. By definition "encumbrance" includes a right which has been set up, in, to, upon or in respect of any land.</w:t>
            </w:r>
          </w:p>
          <w:p w:rsidR="002911E8" w:rsidRPr="002911E8" w:rsidRDefault="002911E8" w:rsidP="002911E8">
            <w:r w:rsidRPr="002911E8">
              <w:t xml:space="preserve">When the various instruments of transfer from </w:t>
            </w:r>
            <w:proofErr w:type="spellStart"/>
            <w:r w:rsidRPr="002911E8">
              <w:t>Keam</w:t>
            </w:r>
            <w:proofErr w:type="spellEnd"/>
            <w:r w:rsidRPr="002911E8">
              <w:t xml:space="preserve"> were registered, then the creations of easement in each instrument over the fee simple of the reserve was also registered or notified on </w:t>
            </w:r>
            <w:proofErr w:type="spellStart"/>
            <w:r w:rsidRPr="002911E8">
              <w:t>Keam's</w:t>
            </w:r>
            <w:proofErr w:type="spellEnd"/>
            <w:r w:rsidRPr="002911E8">
              <w:t xml:space="preserve"> certificate of title and thereby created encumbrances upon and rights in, to, upon or in respect of the reserve. These statutory rights were expressly made "subject to the Act", and an easement thus created by a registration could only be extinguished by the application of the statutory provisions of the Act to be found, for example, in s62 or in s73. Furthermore, since land included in a certificate of title is specifically made subject to any easements, whether or not notified in the certificate of title (see s42(2)(d)) </w:t>
            </w:r>
            <w:proofErr w:type="spellStart"/>
            <w:r w:rsidRPr="002911E8">
              <w:t>Keam's</w:t>
            </w:r>
            <w:proofErr w:type="spellEnd"/>
            <w:r w:rsidRPr="002911E8">
              <w:t xml:space="preserve"> fee simple of the reserve, therefore, was </w:t>
            </w:r>
            <w:r w:rsidRPr="002911E8">
              <w:lastRenderedPageBreak/>
              <w:t xml:space="preserve">made expressly subject to the easement he had created. The titles of the dominant owners contained a specific reference to the right and the </w:t>
            </w:r>
            <w:proofErr w:type="spellStart"/>
            <w:r w:rsidRPr="002911E8">
              <w:t>servient</w:t>
            </w:r>
            <w:proofErr w:type="spellEnd"/>
            <w:r w:rsidRPr="002911E8">
              <w:t xml:space="preserve"> owner's title specifically was made subject to such right.</w:t>
            </w:r>
          </w:p>
          <w:p w:rsidR="002911E8" w:rsidRPr="002911E8" w:rsidRDefault="002911E8" w:rsidP="002911E8">
            <w:bookmarkStart w:id="52" w:name="TAACAAY"/>
            <w:bookmarkStart w:id="53" w:name="PAGE_574"/>
            <w:bookmarkEnd w:id="52"/>
            <w:bookmarkEnd w:id="53"/>
            <w:r w:rsidRPr="002911E8">
              <w:rPr>
                <w:i/>
                <w:iCs/>
              </w:rPr>
              <w:t>[1974] VR 547 at 574</w:t>
            </w:r>
          </w:p>
          <w:p w:rsidR="002911E8" w:rsidRPr="002911E8" w:rsidRDefault="002911E8" w:rsidP="002911E8">
            <w:r w:rsidRPr="002911E8">
              <w:t>These various statutory provisions distinguish the statutory situation dealt with by the Privy Council in Belize Estate and Produce Co. Ltd. v Quilter</w:t>
            </w:r>
            <w:proofErr w:type="gramStart"/>
            <w:r w:rsidRPr="002911E8">
              <w:t>,[</w:t>
            </w:r>
            <w:proofErr w:type="gramEnd"/>
            <w:r w:rsidRPr="002911E8">
              <w:t xml:space="preserve">1897] AC 367, relied on by counsel for the defendants. There registration of title was permissive, not mandatory, and it was not imperative that registration of title once commenced should always continue. Although by the law of British Honduras, title could be extinguished by adverse possession, no provision was made (as in s60, s61 of the Transfer of Land Act 1958) to correct the register by divesting the estate from the dispossessed owner and vesting it in the possessor: see [1897] AC at p. 372. Therefore, it was held by the Privy Council that in respect of land held by adverse possession for the specified period under the local statute, title would be extinguished, even though the dispossessed owner still remained registered as owner of the land. The reasoning of the Privy Council can have no application to the provisions of the Transfer of Land Act. It appears to me that the reasoning of Webster v Strong in relation to applying s68, as it then existed, applies equally to the present provisions of the Transfer of Land Act. It is my view that the reasoning has been recently strengthened by the effect of the Privy Council decision in Frazer v Walker, [1967] 1 AC 569; [1967] 1 All ER 649, and by the High Court decision in </w:t>
            </w:r>
            <w:proofErr w:type="spellStart"/>
            <w:r w:rsidRPr="002911E8">
              <w:t>Breskvar</w:t>
            </w:r>
            <w:proofErr w:type="spellEnd"/>
            <w:r w:rsidRPr="002911E8">
              <w:t xml:space="preserve"> v Wall, supra. The easement is notified as appurtenant to an estate in land described in a certificate of title. The certificate of title is conclusive evidence that the person named therein is the proprietor of such estate. The encumbrance of such easement on the </w:t>
            </w:r>
            <w:proofErr w:type="spellStart"/>
            <w:r w:rsidRPr="002911E8">
              <w:t>servient</w:t>
            </w:r>
            <w:proofErr w:type="spellEnd"/>
            <w:r w:rsidRPr="002911E8">
              <w:t xml:space="preserve"> tenement is created by the registration of the instrument of transfer and remains as an encumbrance on that title until it is removed pursuant to the Act by a successful application to the Registrar under s73. Until this is done by the Registrar, then, in my opinion, no abandonment in fact will affect the conclusive evidence to be found in the certificate of title that the person named thereon is the owner of the estate in the dominant tenement to which the easement is stated therein to be appurtenant. In my opinion, that is the true effect of the decision in Webster v Strong.</w:t>
            </w:r>
          </w:p>
          <w:p w:rsidR="002911E8" w:rsidRPr="002911E8" w:rsidRDefault="002911E8" w:rsidP="002911E8">
            <w:r w:rsidRPr="002911E8">
              <w:t>Having regard to the views I have ventured to give, the result is that the defendants' claim to the exclusive possession and ownership by adverse possession of the disputed area is quite unjustified. Equally, their allegation that the plaintiff's rights (which I have held to constitute an easement over the disputed area) have been extinguished is equally erroneous.</w:t>
            </w:r>
          </w:p>
          <w:p w:rsidR="002911E8" w:rsidRPr="002911E8" w:rsidRDefault="002911E8" w:rsidP="002911E8">
            <w:r w:rsidRPr="002911E8">
              <w:t>In so far as there is or will be any threatened infringement by the defendants to the rights of easement of those plaintiffs whose certificate of title contains a statement of such easement, those plaintiffs are entitled to relief.</w:t>
            </w:r>
          </w:p>
          <w:p w:rsidR="002911E8" w:rsidRPr="002911E8" w:rsidRDefault="002911E8" w:rsidP="002911E8">
            <w:bookmarkStart w:id="54" w:name="TAACAAZ"/>
            <w:bookmarkStart w:id="55" w:name="PAGE_575"/>
            <w:bookmarkEnd w:id="54"/>
            <w:bookmarkEnd w:id="55"/>
            <w:r w:rsidRPr="002911E8">
              <w:rPr>
                <w:i/>
                <w:iCs/>
              </w:rPr>
              <w:t>[1974] VR 547 at 575</w:t>
            </w:r>
          </w:p>
          <w:p w:rsidR="002911E8" w:rsidRPr="002911E8" w:rsidRDefault="002911E8" w:rsidP="002911E8">
            <w:r w:rsidRPr="002911E8">
              <w:t xml:space="preserve">Although equitable defences of laches and acquiescence have been pleaded, in my view they are of little avail in a case of this character where the plaintiffs are seeking equitable relief to prohibit the future repetition of an actionable wrong: cf. </w:t>
            </w:r>
            <w:proofErr w:type="spellStart"/>
            <w:r w:rsidRPr="002911E8">
              <w:t>Beswicke</w:t>
            </w:r>
            <w:proofErr w:type="spellEnd"/>
            <w:r w:rsidRPr="002911E8">
              <w:t xml:space="preserve"> v </w:t>
            </w:r>
            <w:proofErr w:type="spellStart"/>
            <w:r w:rsidRPr="002911E8">
              <w:t>Alner</w:t>
            </w:r>
            <w:proofErr w:type="spellEnd"/>
            <w:r w:rsidRPr="002911E8">
              <w:t>, [1926] VLR 72; 31 ALR 482.</w:t>
            </w:r>
          </w:p>
          <w:p w:rsidR="002911E8" w:rsidRPr="002911E8" w:rsidRDefault="002911E8" w:rsidP="002911E8">
            <w:r w:rsidRPr="002911E8">
              <w:t xml:space="preserve">There was no proof of any conduct on the part of the plaintiffs or any of them which would have led the defendants to expend money thinking that the plaintiffs would not vindicate their rights to the </w:t>
            </w:r>
            <w:r w:rsidRPr="002911E8">
              <w:lastRenderedPageBreak/>
              <w:t xml:space="preserve">easements noted on their certificates of title. Indeed, but for the claim of adverse possession of the disputed area, I might, as a matter of discretion, have been disposed to follow the course taken by the Court of Appeal in Armstrong v Sheppard and Short Ltd., [1959] 2 QB 384; [1959] 2 All ER 651. The disputed area was used by the defendants at all times material as a garden as provided by the incorporeal hereditaments created by </w:t>
            </w:r>
            <w:proofErr w:type="spellStart"/>
            <w:r w:rsidRPr="002911E8">
              <w:t>Keam</w:t>
            </w:r>
            <w:proofErr w:type="spellEnd"/>
            <w:r w:rsidRPr="002911E8">
              <w:t xml:space="preserve">, and the plaintiffs had not found the enclosure by the wire-netting any great inconvenience in the enjoyment of their rights. There had been no occasion until the recent excavation of a hole for the swimming pool for the plaintiffs to assert their rights. But in view of the pleading in the defence, particularly of par.21, and the evidence given by </w:t>
            </w:r>
            <w:proofErr w:type="spellStart"/>
            <w:r w:rsidRPr="002911E8">
              <w:t>Mr.</w:t>
            </w:r>
            <w:proofErr w:type="spellEnd"/>
            <w:r w:rsidRPr="002911E8">
              <w:t xml:space="preserve"> </w:t>
            </w:r>
            <w:proofErr w:type="spellStart"/>
            <w:r w:rsidRPr="002911E8">
              <w:t>Penttila</w:t>
            </w:r>
            <w:proofErr w:type="spellEnd"/>
            <w:r w:rsidRPr="002911E8">
              <w:t xml:space="preserve"> in the witness-box, relief must be given of a character that will prevent his wife and himself and their successors in title of using the disputed area as if they were in exclusive possession of it, or for only purpose other than that permitted by the creation of easement in the original transfer of lot 36 to </w:t>
            </w:r>
            <w:proofErr w:type="spellStart"/>
            <w:r w:rsidRPr="002911E8">
              <w:t>Eltis</w:t>
            </w:r>
            <w:proofErr w:type="spellEnd"/>
            <w:r w:rsidRPr="002911E8">
              <w:t xml:space="preserve"> in 1916.</w:t>
            </w:r>
          </w:p>
          <w:p w:rsidR="002911E8" w:rsidRPr="002911E8" w:rsidRDefault="002911E8" w:rsidP="002911E8">
            <w:r w:rsidRPr="002911E8">
              <w:t xml:space="preserve">I have emphasized throughout my reasons for judgment that the disputed area was being used in a manner consistent with this easement until </w:t>
            </w:r>
            <w:proofErr w:type="spellStart"/>
            <w:r w:rsidRPr="002911E8">
              <w:t>Mr.</w:t>
            </w:r>
            <w:proofErr w:type="spellEnd"/>
            <w:r w:rsidRPr="002911E8">
              <w:t xml:space="preserve"> </w:t>
            </w:r>
            <w:proofErr w:type="spellStart"/>
            <w:r w:rsidRPr="002911E8">
              <w:t>Penttila</w:t>
            </w:r>
            <w:proofErr w:type="spellEnd"/>
            <w:r w:rsidRPr="002911E8">
              <w:t xml:space="preserve"> claimed title to the disputed area. Accordingly, in my judgment there could be no delay or acquiescence in taking action until </w:t>
            </w:r>
            <w:proofErr w:type="spellStart"/>
            <w:r w:rsidRPr="002911E8">
              <w:t>Mr.</w:t>
            </w:r>
            <w:proofErr w:type="spellEnd"/>
            <w:r w:rsidRPr="002911E8">
              <w:t xml:space="preserve"> </w:t>
            </w:r>
            <w:proofErr w:type="spellStart"/>
            <w:r w:rsidRPr="002911E8">
              <w:t>Penttila</w:t>
            </w:r>
            <w:proofErr w:type="spellEnd"/>
            <w:r w:rsidRPr="002911E8">
              <w:t xml:space="preserve"> made the claims that he did in the correspondence.</w:t>
            </w:r>
          </w:p>
          <w:p w:rsidR="002911E8" w:rsidRPr="002911E8" w:rsidRDefault="002911E8" w:rsidP="002911E8">
            <w:r w:rsidRPr="002911E8">
              <w:t>Having regard to these views, I shall now discuss with counsel the nature of the relief that should be given to protect those successful plaintiffs in their rights of easement noted on their title.</w:t>
            </w:r>
          </w:p>
          <w:p w:rsidR="002911E8" w:rsidRPr="002911E8" w:rsidRDefault="002911E8" w:rsidP="002911E8">
            <w:r w:rsidRPr="002911E8">
              <w:t xml:space="preserve">Perhaps I should say that I dismiss the action by </w:t>
            </w:r>
            <w:proofErr w:type="spellStart"/>
            <w:r w:rsidRPr="002911E8">
              <w:t>Mr.</w:t>
            </w:r>
            <w:proofErr w:type="spellEnd"/>
            <w:r w:rsidRPr="002911E8">
              <w:t xml:space="preserve"> and </w:t>
            </w:r>
            <w:proofErr w:type="spellStart"/>
            <w:r w:rsidRPr="002911E8">
              <w:t>Mrs.</w:t>
            </w:r>
            <w:proofErr w:type="spellEnd"/>
            <w:r w:rsidRPr="002911E8">
              <w:t xml:space="preserve"> Brown and </w:t>
            </w:r>
            <w:proofErr w:type="spellStart"/>
            <w:r w:rsidRPr="002911E8">
              <w:t>Mr.</w:t>
            </w:r>
            <w:proofErr w:type="spellEnd"/>
            <w:r w:rsidRPr="002911E8">
              <w:t xml:space="preserve"> and </w:t>
            </w:r>
            <w:proofErr w:type="spellStart"/>
            <w:r w:rsidRPr="002911E8">
              <w:t>Mrs.</w:t>
            </w:r>
            <w:proofErr w:type="spellEnd"/>
            <w:r w:rsidRPr="002911E8">
              <w:t xml:space="preserve"> Campbell without prejudice to their right, if any, to seek an amendment of their respective titles to restore the liberty granted on the transfer of lots Nos. 31 and 32.[After discussion his Honour continued:--]</w:t>
            </w:r>
          </w:p>
          <w:p w:rsidR="002911E8" w:rsidRPr="002911E8" w:rsidRDefault="002911E8" w:rsidP="002911E8">
            <w:bookmarkStart w:id="56" w:name="TAAD"/>
            <w:bookmarkEnd w:id="56"/>
            <w:r w:rsidRPr="002911E8">
              <w:rPr>
                <w:b/>
                <w:bCs/>
              </w:rPr>
              <w:t>Order</w:t>
            </w:r>
          </w:p>
          <w:p w:rsidR="002911E8" w:rsidRPr="002911E8" w:rsidRDefault="002911E8" w:rsidP="002911E8">
            <w:r w:rsidRPr="002911E8">
              <w:t xml:space="preserve">The formal order of the Court is, first, there will be judgment for the defendants against the plaintiffs, George William Brown, Marion </w:t>
            </w:r>
            <w:proofErr w:type="spellStart"/>
            <w:r w:rsidRPr="002911E8">
              <w:t>Eveleen</w:t>
            </w:r>
            <w:proofErr w:type="spellEnd"/>
            <w:r w:rsidRPr="002911E8">
              <w:t xml:space="preserve"> Brown, John </w:t>
            </w:r>
            <w:proofErr w:type="spellStart"/>
            <w:r w:rsidRPr="002911E8">
              <w:t>Aitchison</w:t>
            </w:r>
            <w:proofErr w:type="spellEnd"/>
            <w:r w:rsidRPr="002911E8">
              <w:t xml:space="preserve"> Campbell and Linda Ethel Campbell, and there will be no order as to costs.</w:t>
            </w:r>
          </w:p>
          <w:p w:rsidR="002911E8" w:rsidRPr="002911E8" w:rsidRDefault="002911E8" w:rsidP="002911E8">
            <w:r w:rsidRPr="002911E8">
              <w:t>There will be judgment for the remainder of the plaintiffs, that is the first, second, seventh to seventeenth, both inclusive and I will make a declaration that they and each of them are entitled to use and enjoy the enclosed land being the land coloured blue on exhibit "B" therein in common with each of the said plaintiffs and the defendants for the purpose of recreation or a garden or a park in accordance with the terms of the easements over, inter alia, the said enclosed land created respectively by the instruments of transfer in the register book as set out in the schedule hereto.</w:t>
            </w:r>
          </w:p>
          <w:tbl>
            <w:tblPr>
              <w:tblW w:w="5000" w:type="pct"/>
              <w:tblInd w:w="225" w:type="dxa"/>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firstRow="1" w:lastRow="0" w:firstColumn="1" w:lastColumn="0" w:noHBand="0" w:noVBand="1"/>
            </w:tblPr>
            <w:tblGrid>
              <w:gridCol w:w="3415"/>
              <w:gridCol w:w="5591"/>
            </w:tblGrid>
            <w:tr w:rsidR="002911E8" w:rsidRPr="002911E8" w:rsidTr="002911E8">
              <w:tc>
                <w:tcPr>
                  <w:tcW w:w="0" w:type="auto"/>
                  <w:hideMark/>
                </w:tcPr>
                <w:p w:rsidR="002911E8" w:rsidRPr="002911E8" w:rsidRDefault="002911E8" w:rsidP="002911E8">
                  <w:r w:rsidRPr="002911E8">
                    <w:t>SCHEDULE</w:t>
                  </w:r>
                </w:p>
              </w:tc>
              <w:tc>
                <w:tcPr>
                  <w:tcW w:w="0" w:type="auto"/>
                  <w:hideMark/>
                </w:tcPr>
                <w:p w:rsidR="002911E8" w:rsidRPr="002911E8" w:rsidRDefault="002911E8" w:rsidP="002911E8">
                  <w:r w:rsidRPr="002911E8">
                    <w:t> </w:t>
                  </w:r>
                </w:p>
              </w:tc>
            </w:tr>
            <w:tr w:rsidR="002911E8" w:rsidRPr="002911E8" w:rsidTr="002911E8">
              <w:tc>
                <w:tcPr>
                  <w:tcW w:w="0" w:type="auto"/>
                  <w:hideMark/>
                </w:tcPr>
                <w:p w:rsidR="002911E8" w:rsidRPr="002911E8" w:rsidRDefault="002911E8" w:rsidP="002911E8">
                  <w:r w:rsidRPr="002911E8">
                    <w:t>Plaintiffs:</w:t>
                  </w:r>
                </w:p>
              </w:tc>
              <w:tc>
                <w:tcPr>
                  <w:tcW w:w="0" w:type="auto"/>
                  <w:hideMark/>
                </w:tcPr>
                <w:p w:rsidR="002911E8" w:rsidRPr="002911E8" w:rsidRDefault="002911E8" w:rsidP="002911E8">
                  <w:r w:rsidRPr="002911E8">
                    <w:t>Instrument of Transfer:</w:t>
                  </w:r>
                </w:p>
              </w:tc>
            </w:tr>
            <w:tr w:rsidR="002911E8" w:rsidRPr="002911E8" w:rsidTr="002911E8">
              <w:tc>
                <w:tcPr>
                  <w:tcW w:w="0" w:type="auto"/>
                  <w:hideMark/>
                </w:tcPr>
                <w:p w:rsidR="002911E8" w:rsidRPr="002911E8" w:rsidRDefault="002911E8" w:rsidP="002911E8">
                  <w:r w:rsidRPr="002911E8">
                    <w:t>1st and 2nd</w:t>
                  </w:r>
                </w:p>
              </w:tc>
              <w:tc>
                <w:tcPr>
                  <w:tcW w:w="0" w:type="auto"/>
                  <w:hideMark/>
                </w:tcPr>
                <w:p w:rsidR="002911E8" w:rsidRPr="002911E8" w:rsidRDefault="002911E8" w:rsidP="002911E8">
                  <w:r w:rsidRPr="002911E8">
                    <w:t>1183620</w:t>
                  </w:r>
                </w:p>
              </w:tc>
            </w:tr>
            <w:tr w:rsidR="002911E8" w:rsidRPr="002911E8" w:rsidTr="002911E8">
              <w:tc>
                <w:tcPr>
                  <w:tcW w:w="0" w:type="auto"/>
                  <w:hideMark/>
                </w:tcPr>
                <w:p w:rsidR="002911E8" w:rsidRPr="002911E8" w:rsidRDefault="002911E8" w:rsidP="002911E8">
                  <w:r w:rsidRPr="002911E8">
                    <w:t>7th and 8th</w:t>
                  </w:r>
                </w:p>
              </w:tc>
              <w:tc>
                <w:tcPr>
                  <w:tcW w:w="0" w:type="auto"/>
                  <w:hideMark/>
                </w:tcPr>
                <w:p w:rsidR="002911E8" w:rsidRPr="002911E8" w:rsidRDefault="002911E8" w:rsidP="002911E8">
                  <w:r w:rsidRPr="002911E8">
                    <w:t>1329256 and 1287565</w:t>
                  </w:r>
                </w:p>
              </w:tc>
            </w:tr>
            <w:tr w:rsidR="002911E8" w:rsidRPr="002911E8" w:rsidTr="002911E8">
              <w:tc>
                <w:tcPr>
                  <w:tcW w:w="0" w:type="auto"/>
                  <w:hideMark/>
                </w:tcPr>
                <w:p w:rsidR="002911E8" w:rsidRPr="002911E8" w:rsidRDefault="002911E8" w:rsidP="002911E8">
                  <w:r w:rsidRPr="002911E8">
                    <w:t>9th and 10th</w:t>
                  </w:r>
                </w:p>
              </w:tc>
              <w:tc>
                <w:tcPr>
                  <w:tcW w:w="0" w:type="auto"/>
                  <w:hideMark/>
                </w:tcPr>
                <w:p w:rsidR="002911E8" w:rsidRPr="002911E8" w:rsidRDefault="002911E8" w:rsidP="002911E8">
                  <w:r w:rsidRPr="002911E8">
                    <w:t>1326361</w:t>
                  </w:r>
                </w:p>
              </w:tc>
            </w:tr>
            <w:tr w:rsidR="002911E8" w:rsidRPr="002911E8" w:rsidTr="002911E8">
              <w:tc>
                <w:tcPr>
                  <w:tcW w:w="0" w:type="auto"/>
                  <w:hideMark/>
                </w:tcPr>
                <w:p w:rsidR="002911E8" w:rsidRPr="002911E8" w:rsidRDefault="002911E8" w:rsidP="002911E8">
                  <w:r w:rsidRPr="002911E8">
                    <w:lastRenderedPageBreak/>
                    <w:t>11th and 12th</w:t>
                  </w:r>
                </w:p>
              </w:tc>
              <w:tc>
                <w:tcPr>
                  <w:tcW w:w="0" w:type="auto"/>
                  <w:hideMark/>
                </w:tcPr>
                <w:p w:rsidR="002911E8" w:rsidRPr="002911E8" w:rsidRDefault="002911E8" w:rsidP="002911E8">
                  <w:r w:rsidRPr="002911E8">
                    <w:t>1040406</w:t>
                  </w:r>
                </w:p>
              </w:tc>
            </w:tr>
            <w:tr w:rsidR="002911E8" w:rsidRPr="002911E8" w:rsidTr="002911E8">
              <w:tc>
                <w:tcPr>
                  <w:tcW w:w="0" w:type="auto"/>
                  <w:hideMark/>
                </w:tcPr>
                <w:p w:rsidR="002911E8" w:rsidRPr="002911E8" w:rsidRDefault="002911E8" w:rsidP="002911E8">
                  <w:r w:rsidRPr="002911E8">
                    <w:t>13th</w:t>
                  </w:r>
                </w:p>
              </w:tc>
              <w:tc>
                <w:tcPr>
                  <w:tcW w:w="0" w:type="auto"/>
                  <w:hideMark/>
                </w:tcPr>
                <w:p w:rsidR="002911E8" w:rsidRPr="002911E8" w:rsidRDefault="002911E8" w:rsidP="002911E8">
                  <w:r w:rsidRPr="002911E8">
                    <w:t>1370079</w:t>
                  </w:r>
                </w:p>
              </w:tc>
            </w:tr>
            <w:tr w:rsidR="002911E8" w:rsidRPr="002911E8" w:rsidTr="002911E8">
              <w:tc>
                <w:tcPr>
                  <w:tcW w:w="0" w:type="auto"/>
                  <w:hideMark/>
                </w:tcPr>
                <w:p w:rsidR="002911E8" w:rsidRPr="002911E8" w:rsidRDefault="002911E8" w:rsidP="002911E8">
                  <w:r w:rsidRPr="002911E8">
                    <w:t>14th and 15th</w:t>
                  </w:r>
                </w:p>
              </w:tc>
              <w:tc>
                <w:tcPr>
                  <w:tcW w:w="0" w:type="auto"/>
                  <w:hideMark/>
                </w:tcPr>
                <w:p w:rsidR="002911E8" w:rsidRPr="002911E8" w:rsidRDefault="002911E8" w:rsidP="002911E8">
                  <w:r w:rsidRPr="002911E8">
                    <w:t>1135385</w:t>
                  </w:r>
                </w:p>
              </w:tc>
            </w:tr>
            <w:tr w:rsidR="002911E8" w:rsidRPr="002911E8" w:rsidTr="002911E8">
              <w:tc>
                <w:tcPr>
                  <w:tcW w:w="0" w:type="auto"/>
                  <w:hideMark/>
                </w:tcPr>
                <w:p w:rsidR="002911E8" w:rsidRPr="002911E8" w:rsidRDefault="002911E8" w:rsidP="002911E8">
                  <w:r w:rsidRPr="002911E8">
                    <w:t>16th and 17th</w:t>
                  </w:r>
                </w:p>
              </w:tc>
              <w:tc>
                <w:tcPr>
                  <w:tcW w:w="0" w:type="auto"/>
                  <w:hideMark/>
                </w:tcPr>
                <w:p w:rsidR="002911E8" w:rsidRPr="002911E8" w:rsidRDefault="002911E8" w:rsidP="002911E8">
                  <w:r w:rsidRPr="002911E8">
                    <w:t>1201498</w:t>
                  </w:r>
                </w:p>
              </w:tc>
            </w:tr>
          </w:tbl>
          <w:p w:rsidR="002911E8" w:rsidRPr="002911E8" w:rsidRDefault="002911E8" w:rsidP="002911E8">
            <w:bookmarkStart w:id="57" w:name="TAADAAB"/>
            <w:bookmarkStart w:id="58" w:name="PAGE_576"/>
            <w:bookmarkEnd w:id="57"/>
            <w:bookmarkEnd w:id="58"/>
            <w:r w:rsidRPr="002911E8">
              <w:rPr>
                <w:i/>
                <w:iCs/>
              </w:rPr>
              <w:t>[1974] VR 547 at 576</w:t>
            </w:r>
          </w:p>
          <w:p w:rsidR="002911E8" w:rsidRPr="002911E8" w:rsidRDefault="002911E8" w:rsidP="002911E8">
            <w:r w:rsidRPr="002911E8">
              <w:t>In aid of that declaration I grant an injunction restraining the defendants and each of them by themselves, their servants or agents from depriving the said plaintiffs or any one or more of them of the use enjoyment of the said enclosed land for the purpose of recreation or a garden or a park having regard to the present state or condition of the enclosed land as a garden. I reserve liberty to any party to apply as he or she may be advised. I further order that the costs of the successful plaintiffs including the costs of pleadings and transcript be taxed and when taxed paid by the defendants.</w:t>
            </w:r>
          </w:p>
          <w:p w:rsidR="002911E8" w:rsidRPr="002911E8" w:rsidRDefault="002911E8" w:rsidP="002911E8">
            <w:r w:rsidRPr="002911E8">
              <w:t xml:space="preserve">Solicitors for the plaintiffs: </w:t>
            </w:r>
            <w:proofErr w:type="spellStart"/>
            <w:r w:rsidRPr="002911E8">
              <w:t>Mahony</w:t>
            </w:r>
            <w:proofErr w:type="spellEnd"/>
            <w:r w:rsidRPr="002911E8">
              <w:t>, O'Brien and Duggan.</w:t>
            </w:r>
          </w:p>
          <w:p w:rsidR="002911E8" w:rsidRPr="002911E8" w:rsidRDefault="002911E8" w:rsidP="002911E8">
            <w:r w:rsidRPr="002911E8">
              <w:t xml:space="preserve">Solicitor for the defendants: L. E. </w:t>
            </w:r>
            <w:proofErr w:type="spellStart"/>
            <w:r w:rsidRPr="002911E8">
              <w:t>Penttila</w:t>
            </w:r>
            <w:proofErr w:type="spellEnd"/>
            <w:r w:rsidRPr="002911E8">
              <w:t>.</w:t>
            </w:r>
          </w:p>
          <w:p w:rsidR="002911E8" w:rsidRPr="002911E8" w:rsidRDefault="002911E8" w:rsidP="002911E8">
            <w:r w:rsidRPr="002911E8">
              <w:t>PAUL HOBSON</w:t>
            </w:r>
          </w:p>
        </w:tc>
      </w:tr>
    </w:tbl>
    <w:p w:rsidR="002911E8" w:rsidRPr="002911E8" w:rsidRDefault="002911E8" w:rsidP="002911E8">
      <w:r w:rsidRPr="002911E8">
        <w:lastRenderedPageBreak/>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026"/>
      </w:tblGrid>
      <w:tr w:rsidR="002911E8" w:rsidRPr="002911E8" w:rsidTr="002911E8">
        <w:trPr>
          <w:tblCellSpacing w:w="0" w:type="dxa"/>
        </w:trPr>
        <w:tc>
          <w:tcPr>
            <w:tcW w:w="0" w:type="auto"/>
            <w:shd w:val="clear" w:color="auto" w:fill="FFFFFF"/>
            <w:vAlign w:val="center"/>
            <w:hideMark/>
          </w:tcPr>
          <w:p w:rsidR="002911E8" w:rsidRPr="002911E8" w:rsidRDefault="002911E8" w:rsidP="002911E8">
            <w:r w:rsidRPr="002911E8">
              <w:drawing>
                <wp:inline distT="0" distB="0" distL="0" distR="0">
                  <wp:extent cx="25400" cy="76200"/>
                  <wp:effectExtent l="0" t="0" r="0" b="0"/>
                  <wp:docPr id="27" name="Picture 27"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400" cy="76200"/>
                          </a:xfrm>
                          <a:prstGeom prst="rect">
                            <a:avLst/>
                          </a:prstGeom>
                          <a:noFill/>
                          <a:ln>
                            <a:noFill/>
                          </a:ln>
                        </pic:spPr>
                      </pic:pic>
                    </a:graphicData>
                  </a:graphic>
                </wp:inline>
              </w:drawing>
            </w:r>
          </w:p>
        </w:tc>
      </w:tr>
      <w:tr w:rsidR="002911E8" w:rsidRPr="002911E8" w:rsidTr="002911E8">
        <w:trPr>
          <w:tblCellSpacing w:w="0" w:type="dxa"/>
        </w:trPr>
        <w:tc>
          <w:tcPr>
            <w:tcW w:w="0" w:type="auto"/>
            <w:tcBorders>
              <w:top w:val="single" w:sz="6" w:space="0" w:color="CCCCCC"/>
            </w:tcBorders>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9026"/>
            </w:tblGrid>
            <w:tr w:rsidR="002911E8" w:rsidRPr="002911E8">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50"/>
                    <w:gridCol w:w="8720"/>
                    <w:gridCol w:w="6"/>
                    <w:gridCol w:w="150"/>
                  </w:tblGrid>
                  <w:tr w:rsidR="002911E8" w:rsidRPr="002911E8">
                    <w:trPr>
                      <w:tblCellSpacing w:w="0" w:type="dxa"/>
                    </w:trPr>
                    <w:tc>
                      <w:tcPr>
                        <w:tcW w:w="150" w:type="dxa"/>
                        <w:vMerge w:val="restart"/>
                        <w:vAlign w:val="center"/>
                        <w:hideMark/>
                      </w:tcPr>
                      <w:p w:rsidR="002911E8" w:rsidRPr="002911E8" w:rsidRDefault="002911E8" w:rsidP="002911E8">
                        <w:r w:rsidRPr="002911E8">
                          <w:drawing>
                            <wp:inline distT="0" distB="0" distL="0" distR="0">
                              <wp:extent cx="95250" cy="95250"/>
                              <wp:effectExtent l="0" t="0" r="0" b="0"/>
                              <wp:docPr id="26" name="Picture 26"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0" w:type="auto"/>
                        <w:gridSpan w:val="2"/>
                        <w:vAlign w:val="center"/>
                        <w:hideMark/>
                      </w:tcPr>
                      <w:p w:rsidR="002911E8" w:rsidRPr="002911E8" w:rsidRDefault="002911E8" w:rsidP="002911E8">
                        <w:r w:rsidRPr="002911E8">
                          <w:drawing>
                            <wp:inline distT="0" distB="0" distL="0" distR="0">
                              <wp:extent cx="63500" cy="95250"/>
                              <wp:effectExtent l="0" t="0" r="0" b="0"/>
                              <wp:docPr id="25" name="Picture 25"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00" cy="95250"/>
                                      </a:xfrm>
                                      <a:prstGeom prst="rect">
                                        <a:avLst/>
                                      </a:prstGeom>
                                      <a:noFill/>
                                      <a:ln>
                                        <a:noFill/>
                                      </a:ln>
                                    </pic:spPr>
                                  </pic:pic>
                                </a:graphicData>
                              </a:graphic>
                            </wp:inline>
                          </w:drawing>
                        </w:r>
                      </w:p>
                    </w:tc>
                    <w:tc>
                      <w:tcPr>
                        <w:tcW w:w="105" w:type="dxa"/>
                        <w:vMerge w:val="restart"/>
                        <w:vAlign w:val="center"/>
                        <w:hideMark/>
                      </w:tcPr>
                      <w:p w:rsidR="002911E8" w:rsidRPr="002911E8" w:rsidRDefault="002911E8" w:rsidP="002911E8">
                        <w:r w:rsidRPr="002911E8">
                          <w:drawing>
                            <wp:inline distT="0" distB="0" distL="0" distR="0">
                              <wp:extent cx="95250" cy="63500"/>
                              <wp:effectExtent l="0" t="0" r="0" b="0"/>
                              <wp:docPr id="24" name="Picture 24"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63500"/>
                                      </a:xfrm>
                                      <a:prstGeom prst="rect">
                                        <a:avLst/>
                                      </a:prstGeom>
                                      <a:noFill/>
                                      <a:ln>
                                        <a:noFill/>
                                      </a:ln>
                                    </pic:spPr>
                                  </pic:pic>
                                </a:graphicData>
                              </a:graphic>
                            </wp:inline>
                          </w:drawing>
                        </w:r>
                      </w:p>
                    </w:tc>
                  </w:tr>
                  <w:tr w:rsidR="002911E8" w:rsidRPr="002911E8">
                    <w:trPr>
                      <w:tblCellSpacing w:w="0" w:type="dxa"/>
                    </w:trPr>
                    <w:tc>
                      <w:tcPr>
                        <w:tcW w:w="0" w:type="auto"/>
                        <w:vMerge/>
                        <w:vAlign w:val="center"/>
                        <w:hideMark/>
                      </w:tcPr>
                      <w:p w:rsidR="002911E8" w:rsidRPr="002911E8" w:rsidRDefault="002911E8" w:rsidP="002911E8"/>
                    </w:tc>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952"/>
                          <w:gridCol w:w="150"/>
                          <w:gridCol w:w="7604"/>
                          <w:gridCol w:w="14"/>
                        </w:tblGrid>
                        <w:tr w:rsidR="002911E8" w:rsidRPr="002911E8">
                          <w:trPr>
                            <w:gridAfter w:val="1"/>
                            <w:tblCellSpacing w:w="0" w:type="dxa"/>
                          </w:trPr>
                          <w:tc>
                            <w:tcPr>
                              <w:tcW w:w="250" w:type="pct"/>
                              <w:noWrap/>
                              <w:vAlign w:val="center"/>
                              <w:hideMark/>
                            </w:tcPr>
                            <w:p w:rsidR="002911E8" w:rsidRPr="002911E8" w:rsidRDefault="002911E8" w:rsidP="002911E8">
                              <w:r w:rsidRPr="002911E8">
                                <w:t>Source</w:t>
                              </w:r>
                            </w:p>
                          </w:tc>
                          <w:tc>
                            <w:tcPr>
                              <w:tcW w:w="0" w:type="auto"/>
                              <w:vAlign w:val="center"/>
                              <w:hideMark/>
                            </w:tcPr>
                            <w:p w:rsidR="002911E8" w:rsidRPr="002911E8" w:rsidRDefault="002911E8" w:rsidP="002911E8">
                              <w:r w:rsidRPr="002911E8">
                                <w:drawing>
                                  <wp:inline distT="0" distB="0" distL="0" distR="0">
                                    <wp:extent cx="95250" cy="63500"/>
                                    <wp:effectExtent l="0" t="0" r="0" b="0"/>
                                    <wp:docPr id="23" name="Picture 23"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63500"/>
                                            </a:xfrm>
                                            <a:prstGeom prst="rect">
                                              <a:avLst/>
                                            </a:prstGeom>
                                            <a:noFill/>
                                            <a:ln>
                                              <a:noFill/>
                                            </a:ln>
                                          </pic:spPr>
                                        </pic:pic>
                                      </a:graphicData>
                                    </a:graphic>
                                  </wp:inline>
                                </w:drawing>
                              </w:r>
                            </w:p>
                          </w:tc>
                          <w:tc>
                            <w:tcPr>
                              <w:tcW w:w="0" w:type="auto"/>
                              <w:vAlign w:val="center"/>
                              <w:hideMark/>
                            </w:tcPr>
                            <w:p w:rsidR="002911E8" w:rsidRPr="002911E8" w:rsidRDefault="002911E8" w:rsidP="002911E8">
                              <w:r w:rsidRPr="002911E8">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1" type="#_x0000_t75" style="width:10.5pt;height:10.5pt" o:ole="">
                                    <v:imagedata r:id="rId7" o:title=""/>
                                  </v:shape>
                                  <w:control r:id="rId8" w:name="DefaultOcxName" w:shapeid="_x0000_i1081"/>
                                </w:object>
                              </w:r>
                              <w:r w:rsidRPr="002911E8">
                                <w:drawing>
                                  <wp:inline distT="0" distB="0" distL="0" distR="0">
                                    <wp:extent cx="38100" cy="63500"/>
                                    <wp:effectExtent l="0" t="0" r="0" b="0"/>
                                    <wp:docPr id="22" name="Picture 22"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 cy="63500"/>
                                            </a:xfrm>
                                            <a:prstGeom prst="rect">
                                              <a:avLst/>
                                            </a:prstGeom>
                                            <a:noFill/>
                                            <a:ln>
                                              <a:noFill/>
                                            </a:ln>
                                          </pic:spPr>
                                        </pic:pic>
                                      </a:graphicData>
                                    </a:graphic>
                                  </wp:inline>
                                </w:drawing>
                              </w:r>
                              <w:r w:rsidRPr="002911E8">
                                <w:t>[Victorian Reports]</w:t>
                              </w:r>
                            </w:p>
                          </w:tc>
                        </w:tr>
                        <w:tr w:rsidR="002911E8" w:rsidRPr="002911E8">
                          <w:trPr>
                            <w:tblCellSpacing w:w="0" w:type="dxa"/>
                          </w:trPr>
                          <w:tc>
                            <w:tcPr>
                              <w:tcW w:w="0" w:type="auto"/>
                              <w:gridSpan w:val="4"/>
                              <w:noWrap/>
                              <w:vAlign w:val="center"/>
                              <w:hideMark/>
                            </w:tcPr>
                            <w:p w:rsidR="002911E8" w:rsidRPr="002911E8" w:rsidRDefault="002911E8" w:rsidP="002911E8">
                              <w:r w:rsidRPr="002911E8">
                                <w:drawing>
                                  <wp:inline distT="0" distB="0" distL="0" distR="0">
                                    <wp:extent cx="63500" cy="95250"/>
                                    <wp:effectExtent l="0" t="0" r="0" b="0"/>
                                    <wp:docPr id="21" name="Picture 21"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00" cy="95250"/>
                                            </a:xfrm>
                                            <a:prstGeom prst="rect">
                                              <a:avLst/>
                                            </a:prstGeom>
                                            <a:noFill/>
                                            <a:ln>
                                              <a:noFill/>
                                            </a:ln>
                                          </pic:spPr>
                                        </pic:pic>
                                      </a:graphicData>
                                    </a:graphic>
                                  </wp:inline>
                                </w:drawing>
                              </w:r>
                            </w:p>
                          </w:tc>
                        </w:tr>
                        <w:tr w:rsidR="002911E8" w:rsidRPr="002911E8">
                          <w:trPr>
                            <w:tblCellSpacing w:w="0" w:type="dxa"/>
                          </w:trPr>
                          <w:tc>
                            <w:tcPr>
                              <w:tcW w:w="250" w:type="pct"/>
                              <w:noWrap/>
                              <w:vAlign w:val="center"/>
                              <w:hideMark/>
                            </w:tcPr>
                            <w:p w:rsidR="002911E8" w:rsidRPr="002911E8" w:rsidRDefault="002911E8" w:rsidP="002911E8">
                              <w:r w:rsidRPr="002911E8">
                                <w:t>View</w:t>
                              </w:r>
                            </w:p>
                          </w:tc>
                          <w:tc>
                            <w:tcPr>
                              <w:tcW w:w="0" w:type="auto"/>
                              <w:vAlign w:val="center"/>
                              <w:hideMark/>
                            </w:tcPr>
                            <w:p w:rsidR="002911E8" w:rsidRPr="002911E8" w:rsidRDefault="002911E8" w:rsidP="002911E8">
                              <w:r w:rsidRPr="002911E8">
                                <w:drawing>
                                  <wp:inline distT="0" distB="0" distL="0" distR="0">
                                    <wp:extent cx="95250" cy="63500"/>
                                    <wp:effectExtent l="0" t="0" r="0" b="0"/>
                                    <wp:docPr id="20" name="Picture 20"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63500"/>
                                            </a:xfrm>
                                            <a:prstGeom prst="rect">
                                              <a:avLst/>
                                            </a:prstGeom>
                                            <a:noFill/>
                                            <a:ln>
                                              <a:noFill/>
                                            </a:ln>
                                          </pic:spPr>
                                        </pic:pic>
                                      </a:graphicData>
                                    </a:graphic>
                                  </wp:inline>
                                </w:drawing>
                              </w:r>
                            </w:p>
                          </w:tc>
                          <w:tc>
                            <w:tcPr>
                              <w:tcW w:w="0" w:type="auto"/>
                              <w:vAlign w:val="center"/>
                              <w:hideMark/>
                            </w:tcPr>
                            <w:p w:rsidR="002911E8" w:rsidRPr="002911E8" w:rsidRDefault="002911E8" w:rsidP="002911E8">
                              <w:r w:rsidRPr="002911E8">
                                <w:t>Full</w:t>
                              </w:r>
                            </w:p>
                          </w:tc>
                          <w:tc>
                            <w:tcPr>
                              <w:tcW w:w="0" w:type="auto"/>
                              <w:vAlign w:val="center"/>
                              <w:hideMark/>
                            </w:tcPr>
                            <w:p w:rsidR="002911E8" w:rsidRPr="002911E8" w:rsidRDefault="002911E8" w:rsidP="002911E8"/>
                          </w:tc>
                        </w:tr>
                        <w:tr w:rsidR="002911E8" w:rsidRPr="002911E8">
                          <w:trPr>
                            <w:tblCellSpacing w:w="0" w:type="dxa"/>
                          </w:trPr>
                          <w:tc>
                            <w:tcPr>
                              <w:tcW w:w="0" w:type="auto"/>
                              <w:gridSpan w:val="4"/>
                              <w:noWrap/>
                              <w:vAlign w:val="center"/>
                              <w:hideMark/>
                            </w:tcPr>
                            <w:p w:rsidR="002911E8" w:rsidRPr="002911E8" w:rsidRDefault="002911E8" w:rsidP="002911E8">
                              <w:r w:rsidRPr="002911E8">
                                <w:drawing>
                                  <wp:inline distT="0" distB="0" distL="0" distR="0">
                                    <wp:extent cx="63500" cy="95250"/>
                                    <wp:effectExtent l="0" t="0" r="0" b="0"/>
                                    <wp:docPr id="19" name="Picture 19"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00" cy="95250"/>
                                            </a:xfrm>
                                            <a:prstGeom prst="rect">
                                              <a:avLst/>
                                            </a:prstGeom>
                                            <a:noFill/>
                                            <a:ln>
                                              <a:noFill/>
                                            </a:ln>
                                          </pic:spPr>
                                        </pic:pic>
                                      </a:graphicData>
                                    </a:graphic>
                                  </wp:inline>
                                </w:drawing>
                              </w:r>
                            </w:p>
                          </w:tc>
                        </w:tr>
                        <w:tr w:rsidR="002911E8" w:rsidRPr="002911E8">
                          <w:trPr>
                            <w:tblCellSpacing w:w="0" w:type="dxa"/>
                          </w:trPr>
                          <w:tc>
                            <w:tcPr>
                              <w:tcW w:w="250" w:type="pct"/>
                              <w:noWrap/>
                              <w:vAlign w:val="center"/>
                              <w:hideMark/>
                            </w:tcPr>
                            <w:p w:rsidR="002911E8" w:rsidRPr="002911E8" w:rsidRDefault="002911E8" w:rsidP="002911E8">
                              <w:r w:rsidRPr="002911E8">
                                <w:t>Date/Time</w:t>
                              </w:r>
                            </w:p>
                          </w:tc>
                          <w:tc>
                            <w:tcPr>
                              <w:tcW w:w="150" w:type="dxa"/>
                              <w:vAlign w:val="center"/>
                              <w:hideMark/>
                            </w:tcPr>
                            <w:p w:rsidR="002911E8" w:rsidRPr="002911E8" w:rsidRDefault="002911E8" w:rsidP="002911E8">
                              <w:r w:rsidRPr="002911E8">
                                <w:drawing>
                                  <wp:inline distT="0" distB="0" distL="0" distR="0">
                                    <wp:extent cx="95250" cy="63500"/>
                                    <wp:effectExtent l="0" t="0" r="0" b="0"/>
                                    <wp:docPr id="18" name="Picture 18"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63500"/>
                                            </a:xfrm>
                                            <a:prstGeom prst="rect">
                                              <a:avLst/>
                                            </a:prstGeom>
                                            <a:noFill/>
                                            <a:ln>
                                              <a:noFill/>
                                            </a:ln>
                                          </pic:spPr>
                                        </pic:pic>
                                      </a:graphicData>
                                    </a:graphic>
                                  </wp:inline>
                                </w:drawing>
                              </w:r>
                            </w:p>
                          </w:tc>
                          <w:tc>
                            <w:tcPr>
                              <w:tcW w:w="0" w:type="auto"/>
                              <w:vAlign w:val="center"/>
                              <w:hideMark/>
                            </w:tcPr>
                            <w:p w:rsidR="002911E8" w:rsidRPr="002911E8" w:rsidRDefault="002911E8" w:rsidP="002911E8">
                              <w:r w:rsidRPr="002911E8">
                                <w:t>Monday, October, 1, 2012, 15:03 EST</w:t>
                              </w:r>
                            </w:p>
                          </w:tc>
                          <w:tc>
                            <w:tcPr>
                              <w:tcW w:w="0" w:type="auto"/>
                              <w:vAlign w:val="center"/>
                              <w:hideMark/>
                            </w:tcPr>
                            <w:p w:rsidR="002911E8" w:rsidRPr="002911E8" w:rsidRDefault="002911E8" w:rsidP="002911E8"/>
                          </w:tc>
                        </w:tr>
                        <w:tr w:rsidR="002911E8" w:rsidRPr="002911E8">
                          <w:trPr>
                            <w:tblCellSpacing w:w="0" w:type="dxa"/>
                          </w:trPr>
                          <w:tc>
                            <w:tcPr>
                              <w:tcW w:w="0" w:type="auto"/>
                              <w:gridSpan w:val="4"/>
                              <w:noWrap/>
                              <w:vAlign w:val="center"/>
                              <w:hideMark/>
                            </w:tcPr>
                            <w:p w:rsidR="002911E8" w:rsidRPr="002911E8" w:rsidRDefault="002911E8" w:rsidP="002911E8">
                              <w:r w:rsidRPr="002911E8">
                                <w:drawing>
                                  <wp:inline distT="0" distB="0" distL="0" distR="0">
                                    <wp:extent cx="44450" cy="95250"/>
                                    <wp:effectExtent l="0" t="0" r="0" b="0"/>
                                    <wp:docPr id="17" name="Picture 17"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450" cy="95250"/>
                                            </a:xfrm>
                                            <a:prstGeom prst="rect">
                                              <a:avLst/>
                                            </a:prstGeom>
                                            <a:noFill/>
                                            <a:ln>
                                              <a:noFill/>
                                            </a:ln>
                                          </pic:spPr>
                                        </pic:pic>
                                      </a:graphicData>
                                    </a:graphic>
                                  </wp:inline>
                                </w:drawing>
                              </w:r>
                            </w:p>
                          </w:tc>
                        </w:tr>
                      </w:tbl>
                      <w:p w:rsidR="002911E8" w:rsidRPr="002911E8" w:rsidRDefault="002911E8" w:rsidP="002911E8"/>
                    </w:tc>
                    <w:tc>
                      <w:tcPr>
                        <w:tcW w:w="0" w:type="auto"/>
                        <w:vAlign w:val="center"/>
                        <w:hideMark/>
                      </w:tcPr>
                      <w:p w:rsidR="002911E8" w:rsidRPr="002911E8" w:rsidRDefault="002911E8" w:rsidP="002911E8"/>
                    </w:tc>
                    <w:tc>
                      <w:tcPr>
                        <w:tcW w:w="0" w:type="auto"/>
                        <w:vMerge/>
                        <w:vAlign w:val="center"/>
                        <w:hideMark/>
                      </w:tcPr>
                      <w:p w:rsidR="002911E8" w:rsidRPr="002911E8" w:rsidRDefault="002911E8" w:rsidP="002911E8"/>
                    </w:tc>
                  </w:tr>
                  <w:tr w:rsidR="002911E8" w:rsidRPr="002911E8">
                    <w:trPr>
                      <w:tblCellSpacing w:w="0" w:type="dxa"/>
                    </w:trPr>
                    <w:tc>
                      <w:tcPr>
                        <w:tcW w:w="0" w:type="auto"/>
                        <w:vMerge/>
                        <w:vAlign w:val="center"/>
                        <w:hideMark/>
                      </w:tcPr>
                      <w:p w:rsidR="002911E8" w:rsidRPr="002911E8" w:rsidRDefault="002911E8" w:rsidP="002911E8"/>
                    </w:tc>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006"/>
                          <w:gridCol w:w="4055"/>
                          <w:gridCol w:w="2659"/>
                        </w:tblGrid>
                        <w:tr w:rsidR="002911E8" w:rsidRPr="002911E8">
                          <w:trPr>
                            <w:tblCellSpacing w:w="0" w:type="dxa"/>
                          </w:trPr>
                          <w:tc>
                            <w:tcPr>
                              <w:tcW w:w="1150" w:type="pct"/>
                              <w:vAlign w:val="center"/>
                              <w:hideMark/>
                            </w:tcPr>
                            <w:p w:rsidR="002911E8" w:rsidRPr="002911E8" w:rsidRDefault="002911E8" w:rsidP="002911E8"/>
                          </w:tc>
                          <w:tc>
                            <w:tcPr>
                              <w:tcW w:w="0" w:type="auto"/>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1597"/>
                              </w:tblGrid>
                              <w:tr w:rsidR="002911E8" w:rsidRPr="002911E8">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440"/>
                                      <w:gridCol w:w="711"/>
                                      <w:gridCol w:w="440"/>
                                    </w:tblGrid>
                                    <w:tr w:rsidR="002911E8" w:rsidRPr="002911E8">
                                      <w:trPr>
                                        <w:tblCellSpacing w:w="0" w:type="dxa"/>
                                      </w:trPr>
                                      <w:tc>
                                        <w:tcPr>
                                          <w:tcW w:w="0" w:type="auto"/>
                                          <w:noWrap/>
                                          <w:vAlign w:val="center"/>
                                          <w:hideMark/>
                                        </w:tcPr>
                                        <w:p w:rsidR="002911E8" w:rsidRPr="002911E8" w:rsidRDefault="002911E8" w:rsidP="002911E8"/>
                                      </w:tc>
                                      <w:tc>
                                        <w:tcPr>
                                          <w:tcW w:w="0" w:type="auto"/>
                                          <w:vAlign w:val="center"/>
                                          <w:hideMark/>
                                        </w:tcPr>
                                        <w:p w:rsidR="002911E8" w:rsidRPr="002911E8" w:rsidRDefault="002911E8" w:rsidP="002911E8">
                                          <w:r w:rsidRPr="002911E8">
                                            <w:drawing>
                                              <wp:inline distT="0" distB="0" distL="0" distR="0">
                                                <wp:extent cx="120650" cy="120650"/>
                                                <wp:effectExtent l="0" t="0" r="0" b="0"/>
                                                <wp:docPr id="16" name="Picture 16" descr="Inactive first docu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nactive first document ic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pic:spPr>
                                                    </pic:pic>
                                                  </a:graphicData>
                                                </a:graphic>
                                              </wp:inline>
                                            </w:drawing>
                                          </w:r>
                                          <w:r w:rsidRPr="002911E8">
                                            <w:drawing>
                                              <wp:inline distT="0" distB="0" distL="0" distR="0">
                                                <wp:extent cx="38100" cy="38100"/>
                                                <wp:effectExtent l="0" t="0" r="0" b="0"/>
                                                <wp:docPr id="15" name="Picture 15"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r w:rsidRPr="002911E8">
                                            <w:drawing>
                                              <wp:inline distT="0" distB="0" distL="0" distR="0">
                                                <wp:extent cx="120650" cy="120650"/>
                                                <wp:effectExtent l="0" t="0" r="0" b="0"/>
                                                <wp:docPr id="14" name="Picture 14" descr="Inactive first docu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nactive first document ic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pic:spPr>
                                                    </pic:pic>
                                                  </a:graphicData>
                                                </a:graphic>
                                              </wp:inline>
                                            </w:drawing>
                                          </w:r>
                                        </w:p>
                                      </w:tc>
                                      <w:tc>
                                        <w:tcPr>
                                          <w:tcW w:w="0" w:type="auto"/>
                                          <w:noWrap/>
                                          <w:vAlign w:val="center"/>
                                          <w:hideMark/>
                                        </w:tcPr>
                                        <w:p w:rsidR="002911E8" w:rsidRPr="002911E8" w:rsidRDefault="002911E8" w:rsidP="002911E8">
                                          <w:r w:rsidRPr="002911E8">
                                            <w:drawing>
                                              <wp:inline distT="0" distB="0" distL="0" distR="0">
                                                <wp:extent cx="63500" cy="63500"/>
                                                <wp:effectExtent l="0" t="0" r="0" b="0"/>
                                                <wp:docPr id="13" name="Picture 13"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00" cy="63500"/>
                                                        </a:xfrm>
                                                        <a:prstGeom prst="rect">
                                                          <a:avLst/>
                                                        </a:prstGeom>
                                                        <a:noFill/>
                                                        <a:ln>
                                                          <a:noFill/>
                                                        </a:ln>
                                                      </pic:spPr>
                                                    </pic:pic>
                                                  </a:graphicData>
                                                </a:graphic>
                                              </wp:inline>
                                            </w:drawing>
                                          </w:r>
                                          <w:r w:rsidRPr="002911E8">
                                            <w:rPr>
                                              <w:b/>
                                              <w:bCs/>
                                            </w:rPr>
                                            <w:t>1 of 1</w:t>
                                          </w:r>
                                          <w:r w:rsidRPr="002911E8">
                                            <w:drawing>
                                              <wp:inline distT="0" distB="0" distL="0" distR="0">
                                                <wp:extent cx="63500" cy="63500"/>
                                                <wp:effectExtent l="0" t="0" r="0" b="0"/>
                                                <wp:docPr id="12" name="Picture 12"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00" cy="63500"/>
                                                        </a:xfrm>
                                                        <a:prstGeom prst="rect">
                                                          <a:avLst/>
                                                        </a:prstGeom>
                                                        <a:noFill/>
                                                        <a:ln>
                                                          <a:noFill/>
                                                        </a:ln>
                                                      </pic:spPr>
                                                    </pic:pic>
                                                  </a:graphicData>
                                                </a:graphic>
                                              </wp:inline>
                                            </w:drawing>
                                          </w:r>
                                        </w:p>
                                      </w:tc>
                                      <w:tc>
                                        <w:tcPr>
                                          <w:tcW w:w="0" w:type="auto"/>
                                          <w:vAlign w:val="center"/>
                                          <w:hideMark/>
                                        </w:tcPr>
                                        <w:p w:rsidR="002911E8" w:rsidRPr="002911E8" w:rsidRDefault="002911E8" w:rsidP="002911E8">
                                          <w:r w:rsidRPr="002911E8">
                                            <w:drawing>
                                              <wp:inline distT="0" distB="0" distL="0" distR="0">
                                                <wp:extent cx="120650" cy="120650"/>
                                                <wp:effectExtent l="0" t="0" r="0" b="0"/>
                                                <wp:docPr id="11" name="Picture 11" descr="Inactive last docu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active last document ic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pic:spPr>
                                                    </pic:pic>
                                                  </a:graphicData>
                                                </a:graphic>
                                              </wp:inline>
                                            </w:drawing>
                                          </w:r>
                                          <w:r w:rsidRPr="002911E8">
                                            <w:drawing>
                                              <wp:inline distT="0" distB="0" distL="0" distR="0">
                                                <wp:extent cx="38100" cy="38100"/>
                                                <wp:effectExtent l="0" t="0" r="0" b="0"/>
                                                <wp:docPr id="10" name="Picture 10"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r w:rsidRPr="002911E8">
                                            <w:drawing>
                                              <wp:inline distT="0" distB="0" distL="0" distR="0">
                                                <wp:extent cx="120650" cy="120650"/>
                                                <wp:effectExtent l="0" t="0" r="0" b="0"/>
                                                <wp:docPr id="9" name="Picture 9" descr="Inactive last docu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nactive last document ic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20650"/>
                                                        </a:xfrm>
                                                        <a:prstGeom prst="rect">
                                                          <a:avLst/>
                                                        </a:prstGeom>
                                                        <a:noFill/>
                                                        <a:ln>
                                                          <a:noFill/>
                                                        </a:ln>
                                                      </pic:spPr>
                                                    </pic:pic>
                                                  </a:graphicData>
                                                </a:graphic>
                                              </wp:inline>
                                            </w:drawing>
                                          </w:r>
                                        </w:p>
                                      </w:tc>
                                    </w:tr>
                                  </w:tbl>
                                  <w:p w:rsidR="002911E8" w:rsidRPr="002911E8" w:rsidRDefault="002911E8" w:rsidP="002911E8"/>
                                </w:tc>
                              </w:tr>
                            </w:tbl>
                            <w:p w:rsidR="002911E8" w:rsidRPr="002911E8" w:rsidRDefault="002911E8" w:rsidP="002911E8"/>
                          </w:tc>
                          <w:tc>
                            <w:tcPr>
                              <w:tcW w:w="0" w:type="auto"/>
                              <w:noWrap/>
                              <w:vAlign w:val="center"/>
                              <w:hideMark/>
                            </w:tcPr>
                            <w:p w:rsidR="002911E8" w:rsidRPr="002911E8" w:rsidRDefault="002911E8" w:rsidP="002911E8">
                              <w:hyperlink r:id="rId13" w:history="1">
                                <w:r w:rsidRPr="002911E8">
                                  <w:rPr>
                                    <w:rStyle w:val="Hyperlink"/>
                                  </w:rPr>
                                  <w:t>Back to Top</w:t>
                                </w:r>
                              </w:hyperlink>
                            </w:p>
                          </w:tc>
                        </w:tr>
                      </w:tbl>
                      <w:p w:rsidR="002911E8" w:rsidRPr="002911E8" w:rsidRDefault="002911E8" w:rsidP="002911E8"/>
                    </w:tc>
                    <w:tc>
                      <w:tcPr>
                        <w:tcW w:w="0" w:type="auto"/>
                        <w:vAlign w:val="center"/>
                        <w:hideMark/>
                      </w:tcPr>
                      <w:p w:rsidR="002911E8" w:rsidRPr="002911E8" w:rsidRDefault="002911E8" w:rsidP="002911E8"/>
                    </w:tc>
                    <w:tc>
                      <w:tcPr>
                        <w:tcW w:w="0" w:type="auto"/>
                        <w:vMerge/>
                        <w:vAlign w:val="center"/>
                        <w:hideMark/>
                      </w:tcPr>
                      <w:p w:rsidR="002911E8" w:rsidRPr="002911E8" w:rsidRDefault="002911E8" w:rsidP="002911E8"/>
                    </w:tc>
                  </w:tr>
                  <w:tr w:rsidR="002911E8" w:rsidRPr="002911E8">
                    <w:trPr>
                      <w:tblCellSpacing w:w="0" w:type="dxa"/>
                    </w:trPr>
                    <w:tc>
                      <w:tcPr>
                        <w:tcW w:w="0" w:type="auto"/>
                        <w:vMerge/>
                        <w:vAlign w:val="center"/>
                        <w:hideMark/>
                      </w:tcPr>
                      <w:p w:rsidR="002911E8" w:rsidRPr="002911E8" w:rsidRDefault="002911E8" w:rsidP="002911E8"/>
                    </w:tc>
                    <w:tc>
                      <w:tcPr>
                        <w:tcW w:w="0" w:type="auto"/>
                        <w:vAlign w:val="center"/>
                        <w:hideMark/>
                      </w:tcPr>
                      <w:p w:rsidR="002911E8" w:rsidRPr="002911E8" w:rsidRDefault="002911E8" w:rsidP="002911E8">
                        <w:r w:rsidRPr="002911E8">
                          <w:drawing>
                            <wp:inline distT="0" distB="0" distL="0" distR="0">
                              <wp:extent cx="95250" cy="95250"/>
                              <wp:effectExtent l="0" t="0" r="0" b="0"/>
                              <wp:docPr id="8" name="Picture 8"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0" w:type="auto"/>
                        <w:vAlign w:val="center"/>
                        <w:hideMark/>
                      </w:tcPr>
                      <w:p w:rsidR="002911E8" w:rsidRPr="002911E8" w:rsidRDefault="002911E8" w:rsidP="002911E8"/>
                    </w:tc>
                    <w:tc>
                      <w:tcPr>
                        <w:tcW w:w="0" w:type="auto"/>
                        <w:vMerge/>
                        <w:vAlign w:val="center"/>
                        <w:hideMark/>
                      </w:tcPr>
                      <w:p w:rsidR="002911E8" w:rsidRPr="002911E8" w:rsidRDefault="002911E8" w:rsidP="002911E8"/>
                    </w:tc>
                  </w:tr>
                </w:tbl>
                <w:p w:rsidR="002911E8" w:rsidRPr="002911E8" w:rsidRDefault="002911E8" w:rsidP="002911E8"/>
              </w:tc>
            </w:tr>
          </w:tbl>
          <w:p w:rsidR="002911E8" w:rsidRPr="002911E8" w:rsidRDefault="002911E8" w:rsidP="002911E8"/>
        </w:tc>
      </w:tr>
      <w:tr w:rsidR="002911E8" w:rsidRPr="002911E8" w:rsidTr="002911E8">
        <w:trPr>
          <w:tblCellSpacing w:w="0" w:type="dxa"/>
        </w:trPr>
        <w:tc>
          <w:tcPr>
            <w:tcW w:w="5000" w:type="pct"/>
            <w:shd w:val="clear" w:color="auto" w:fill="FFFFFF"/>
            <w:vAlign w:val="bottom"/>
            <w:hideMark/>
          </w:tcPr>
          <w:tbl>
            <w:tblPr>
              <w:tblW w:w="5000" w:type="pct"/>
              <w:jc w:val="center"/>
              <w:tblCellSpacing w:w="0" w:type="dxa"/>
              <w:tblCellMar>
                <w:left w:w="0" w:type="dxa"/>
                <w:right w:w="0" w:type="dxa"/>
              </w:tblCellMar>
              <w:tblLook w:val="04A0" w:firstRow="1" w:lastRow="0" w:firstColumn="1" w:lastColumn="0" w:noHBand="0" w:noVBand="1"/>
            </w:tblPr>
            <w:tblGrid>
              <w:gridCol w:w="2265"/>
              <w:gridCol w:w="6761"/>
            </w:tblGrid>
            <w:tr w:rsidR="002911E8" w:rsidRPr="002911E8" w:rsidTr="002911E8">
              <w:trPr>
                <w:tblCellSpacing w:w="0" w:type="dxa"/>
                <w:jc w:val="center"/>
              </w:trPr>
              <w:tc>
                <w:tcPr>
                  <w:tcW w:w="1950" w:type="dxa"/>
                  <w:tcBorders>
                    <w:right w:val="dotted" w:sz="6" w:space="0" w:color="CCCCCC"/>
                  </w:tcBorders>
                  <w:tcMar>
                    <w:top w:w="150" w:type="dxa"/>
                    <w:left w:w="150" w:type="dxa"/>
                    <w:bottom w:w="150" w:type="dxa"/>
                    <w:right w:w="150" w:type="dxa"/>
                  </w:tcMar>
                  <w:vAlign w:val="center"/>
                  <w:hideMark/>
                </w:tcPr>
                <w:p w:rsidR="002911E8" w:rsidRPr="002911E8" w:rsidRDefault="002911E8" w:rsidP="002911E8">
                  <w:r w:rsidRPr="002911E8">
                    <w:drawing>
                      <wp:inline distT="0" distB="0" distL="0" distR="0">
                        <wp:extent cx="1238250" cy="241300"/>
                        <wp:effectExtent l="0" t="0" r="0" b="6350"/>
                        <wp:docPr id="7" name="Picture 7" descr="LexisNex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exisNexi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8250" cy="241300"/>
                                </a:xfrm>
                                <a:prstGeom prst="rect">
                                  <a:avLst/>
                                </a:prstGeom>
                                <a:noFill/>
                                <a:ln>
                                  <a:noFill/>
                                </a:ln>
                              </pic:spPr>
                            </pic:pic>
                          </a:graphicData>
                        </a:graphic>
                      </wp:inline>
                    </w:drawing>
                  </w:r>
                </w:p>
              </w:tc>
              <w:tc>
                <w:tcPr>
                  <w:tcW w:w="0" w:type="auto"/>
                  <w:tcMar>
                    <w:top w:w="135" w:type="dxa"/>
                    <w:left w:w="150" w:type="dxa"/>
                    <w:bottom w:w="150" w:type="dxa"/>
                    <w:right w:w="15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4422"/>
                  </w:tblGrid>
                  <w:tr w:rsidR="002911E8" w:rsidRPr="002911E8">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1515"/>
                          <w:gridCol w:w="60"/>
                          <w:gridCol w:w="102"/>
                          <w:gridCol w:w="60"/>
                          <w:gridCol w:w="1762"/>
                          <w:gridCol w:w="60"/>
                          <w:gridCol w:w="102"/>
                          <w:gridCol w:w="60"/>
                          <w:gridCol w:w="529"/>
                        </w:tblGrid>
                        <w:tr w:rsidR="002911E8" w:rsidRPr="002911E8">
                          <w:trPr>
                            <w:tblCellSpacing w:w="0" w:type="dxa"/>
                          </w:trPr>
                          <w:tc>
                            <w:tcPr>
                              <w:tcW w:w="0" w:type="auto"/>
                              <w:vAlign w:val="center"/>
                              <w:hideMark/>
                            </w:tcPr>
                            <w:p w:rsidR="002911E8" w:rsidRPr="002911E8" w:rsidRDefault="002911E8" w:rsidP="002911E8">
                              <w:hyperlink r:id="rId15" w:history="1">
                                <w:r w:rsidRPr="002911E8">
                                  <w:rPr>
                                    <w:rStyle w:val="Hyperlink"/>
                                  </w:rPr>
                                  <w:t>About LexisNexis</w:t>
                                </w:r>
                              </w:hyperlink>
                            </w:p>
                          </w:tc>
                          <w:tc>
                            <w:tcPr>
                              <w:tcW w:w="0" w:type="auto"/>
                              <w:vAlign w:val="center"/>
                              <w:hideMark/>
                            </w:tcPr>
                            <w:p w:rsidR="002911E8" w:rsidRPr="002911E8" w:rsidRDefault="002911E8" w:rsidP="002911E8">
                              <w:r w:rsidRPr="002911E8">
                                <w:drawing>
                                  <wp:inline distT="0" distB="0" distL="0" distR="0">
                                    <wp:extent cx="38100" cy="44450"/>
                                    <wp:effectExtent l="0" t="0" r="0" b="0"/>
                                    <wp:docPr id="6" name="Picture 6"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 cy="44450"/>
                                            </a:xfrm>
                                            <a:prstGeom prst="rect">
                                              <a:avLst/>
                                            </a:prstGeom>
                                            <a:noFill/>
                                            <a:ln>
                                              <a:noFill/>
                                            </a:ln>
                                          </pic:spPr>
                                        </pic:pic>
                                      </a:graphicData>
                                    </a:graphic>
                                  </wp:inline>
                                </w:drawing>
                              </w:r>
                            </w:p>
                          </w:tc>
                          <w:tc>
                            <w:tcPr>
                              <w:tcW w:w="0" w:type="auto"/>
                              <w:vAlign w:val="center"/>
                              <w:hideMark/>
                            </w:tcPr>
                            <w:p w:rsidR="002911E8" w:rsidRPr="002911E8" w:rsidRDefault="002911E8" w:rsidP="002911E8">
                              <w:r w:rsidRPr="002911E8">
                                <w:t>|</w:t>
                              </w:r>
                            </w:p>
                          </w:tc>
                          <w:tc>
                            <w:tcPr>
                              <w:tcW w:w="0" w:type="auto"/>
                              <w:vAlign w:val="center"/>
                              <w:hideMark/>
                            </w:tcPr>
                            <w:p w:rsidR="002911E8" w:rsidRPr="002911E8" w:rsidRDefault="002911E8" w:rsidP="002911E8">
                              <w:r w:rsidRPr="002911E8">
                                <w:drawing>
                                  <wp:inline distT="0" distB="0" distL="0" distR="0">
                                    <wp:extent cx="38100" cy="44450"/>
                                    <wp:effectExtent l="0" t="0" r="0" b="0"/>
                                    <wp:docPr id="5" name="Picture 5"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 cy="44450"/>
                                            </a:xfrm>
                                            <a:prstGeom prst="rect">
                                              <a:avLst/>
                                            </a:prstGeom>
                                            <a:noFill/>
                                            <a:ln>
                                              <a:noFill/>
                                            </a:ln>
                                          </pic:spPr>
                                        </pic:pic>
                                      </a:graphicData>
                                    </a:graphic>
                                  </wp:inline>
                                </w:drawing>
                              </w:r>
                            </w:p>
                          </w:tc>
                          <w:tc>
                            <w:tcPr>
                              <w:tcW w:w="0" w:type="auto"/>
                              <w:vAlign w:val="center"/>
                              <w:hideMark/>
                            </w:tcPr>
                            <w:p w:rsidR="002911E8" w:rsidRPr="002911E8" w:rsidRDefault="002911E8" w:rsidP="002911E8">
                              <w:hyperlink r:id="rId16" w:history="1">
                                <w:r w:rsidRPr="002911E8">
                                  <w:rPr>
                                    <w:rStyle w:val="Hyperlink"/>
                                  </w:rPr>
                                  <w:t>Terms &amp; Conditions</w:t>
                                </w:r>
                              </w:hyperlink>
                            </w:p>
                          </w:tc>
                          <w:tc>
                            <w:tcPr>
                              <w:tcW w:w="0" w:type="auto"/>
                              <w:vAlign w:val="center"/>
                              <w:hideMark/>
                            </w:tcPr>
                            <w:p w:rsidR="002911E8" w:rsidRPr="002911E8" w:rsidRDefault="002911E8" w:rsidP="002911E8">
                              <w:r w:rsidRPr="002911E8">
                                <w:drawing>
                                  <wp:inline distT="0" distB="0" distL="0" distR="0">
                                    <wp:extent cx="38100" cy="44450"/>
                                    <wp:effectExtent l="0" t="0" r="0" b="0"/>
                                    <wp:docPr id="4" name="Picture 4"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 cy="44450"/>
                                            </a:xfrm>
                                            <a:prstGeom prst="rect">
                                              <a:avLst/>
                                            </a:prstGeom>
                                            <a:noFill/>
                                            <a:ln>
                                              <a:noFill/>
                                            </a:ln>
                                          </pic:spPr>
                                        </pic:pic>
                                      </a:graphicData>
                                    </a:graphic>
                                  </wp:inline>
                                </w:drawing>
                              </w:r>
                            </w:p>
                          </w:tc>
                          <w:tc>
                            <w:tcPr>
                              <w:tcW w:w="0" w:type="auto"/>
                              <w:vAlign w:val="center"/>
                              <w:hideMark/>
                            </w:tcPr>
                            <w:p w:rsidR="002911E8" w:rsidRPr="002911E8" w:rsidRDefault="002911E8" w:rsidP="002911E8">
                              <w:r w:rsidRPr="002911E8">
                                <w:t>|</w:t>
                              </w:r>
                            </w:p>
                          </w:tc>
                          <w:tc>
                            <w:tcPr>
                              <w:tcW w:w="0" w:type="auto"/>
                              <w:vAlign w:val="center"/>
                              <w:hideMark/>
                            </w:tcPr>
                            <w:p w:rsidR="002911E8" w:rsidRPr="002911E8" w:rsidRDefault="002911E8" w:rsidP="002911E8">
                              <w:r w:rsidRPr="002911E8">
                                <w:drawing>
                                  <wp:inline distT="0" distB="0" distL="0" distR="0">
                                    <wp:extent cx="38100" cy="44450"/>
                                    <wp:effectExtent l="0" t="0" r="0" b="0"/>
                                    <wp:docPr id="3" name="Picture 3"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 cy="44450"/>
                                            </a:xfrm>
                                            <a:prstGeom prst="rect">
                                              <a:avLst/>
                                            </a:prstGeom>
                                            <a:noFill/>
                                            <a:ln>
                                              <a:noFill/>
                                            </a:ln>
                                          </pic:spPr>
                                        </pic:pic>
                                      </a:graphicData>
                                    </a:graphic>
                                  </wp:inline>
                                </w:drawing>
                              </w:r>
                            </w:p>
                          </w:tc>
                          <w:tc>
                            <w:tcPr>
                              <w:tcW w:w="0" w:type="auto"/>
                              <w:vAlign w:val="center"/>
                              <w:hideMark/>
                            </w:tcPr>
                            <w:p w:rsidR="002911E8" w:rsidRPr="002911E8" w:rsidRDefault="002911E8" w:rsidP="002911E8">
                              <w:hyperlink r:id="rId17" w:tgtFrame="_self" w:history="1">
                                <w:r w:rsidRPr="002911E8">
                                  <w:rPr>
                                    <w:rStyle w:val="Hyperlink"/>
                                  </w:rPr>
                                  <w:t>My ID</w:t>
                                </w:r>
                              </w:hyperlink>
                            </w:p>
                          </w:tc>
                        </w:tr>
                      </w:tbl>
                      <w:p w:rsidR="002911E8" w:rsidRPr="002911E8" w:rsidRDefault="002911E8" w:rsidP="002911E8"/>
                    </w:tc>
                  </w:tr>
                  <w:tr w:rsidR="002911E8" w:rsidRPr="002911E8">
                    <w:trPr>
                      <w:tblCellSpacing w:w="0" w:type="dxa"/>
                    </w:trPr>
                    <w:tc>
                      <w:tcPr>
                        <w:tcW w:w="0" w:type="auto"/>
                        <w:vAlign w:val="center"/>
                        <w:hideMark/>
                      </w:tcPr>
                      <w:p w:rsidR="002911E8" w:rsidRPr="002911E8" w:rsidRDefault="002911E8" w:rsidP="002911E8">
                        <w:r w:rsidRPr="002911E8">
                          <w:drawing>
                            <wp:inline distT="0" distB="0" distL="0" distR="0">
                              <wp:extent cx="6350" cy="44450"/>
                              <wp:effectExtent l="0" t="0" r="0" b="0"/>
                              <wp:docPr id="2" name="Picture 2"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0" cy="44450"/>
                                      </a:xfrm>
                                      <a:prstGeom prst="rect">
                                        <a:avLst/>
                                      </a:prstGeom>
                                      <a:noFill/>
                                      <a:ln>
                                        <a:noFill/>
                                      </a:ln>
                                    </pic:spPr>
                                  </pic:pic>
                                </a:graphicData>
                              </a:graphic>
                            </wp:inline>
                          </w:drawing>
                        </w:r>
                      </w:p>
                    </w:tc>
                  </w:tr>
                  <w:tr w:rsidR="002911E8" w:rsidRPr="002911E8">
                    <w:trPr>
                      <w:tblCellSpacing w:w="0" w:type="dxa"/>
                    </w:trPr>
                    <w:tc>
                      <w:tcPr>
                        <w:tcW w:w="0" w:type="auto"/>
                        <w:vAlign w:val="center"/>
                        <w:hideMark/>
                      </w:tcPr>
                      <w:p w:rsidR="002911E8" w:rsidRPr="002911E8" w:rsidRDefault="002911E8" w:rsidP="002911E8">
                        <w:hyperlink r:id="rId18" w:history="1">
                          <w:r w:rsidRPr="002911E8">
                            <w:rPr>
                              <w:rStyle w:val="Hyperlink"/>
                            </w:rPr>
                            <w:t>Copyright ©</w:t>
                          </w:r>
                        </w:hyperlink>
                        <w:r w:rsidRPr="002911E8">
                          <w:t> 2012</w:t>
                        </w:r>
                        <w:r w:rsidRPr="002911E8">
                          <w:drawing>
                            <wp:inline distT="0" distB="0" distL="0" distR="0">
                              <wp:extent cx="19050" cy="6350"/>
                              <wp:effectExtent l="0" t="0" r="0" b="0"/>
                              <wp:docPr id="1" name="Picture 1" descr="http://www.lexisnexis.com/au/legal/imag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lexisnexis.com/au/legal/images/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6350"/>
                                      </a:xfrm>
                                      <a:prstGeom prst="rect">
                                        <a:avLst/>
                                      </a:prstGeom>
                                      <a:noFill/>
                                      <a:ln>
                                        <a:noFill/>
                                      </a:ln>
                                    </pic:spPr>
                                  </pic:pic>
                                </a:graphicData>
                              </a:graphic>
                            </wp:inline>
                          </w:drawing>
                        </w:r>
                        <w:r w:rsidRPr="002911E8">
                          <w:t> </w:t>
                        </w:r>
                        <w:hyperlink r:id="rId19" w:history="1">
                          <w:proofErr w:type="gramStart"/>
                          <w:r w:rsidRPr="002911E8">
                            <w:rPr>
                              <w:rStyle w:val="Hyperlink"/>
                            </w:rPr>
                            <w:t>LexisNexis .</w:t>
                          </w:r>
                          <w:proofErr w:type="gramEnd"/>
                        </w:hyperlink>
                        <w:r w:rsidRPr="002911E8">
                          <w:t> All rights reserved.</w:t>
                        </w:r>
                      </w:p>
                    </w:tc>
                  </w:tr>
                </w:tbl>
                <w:p w:rsidR="002911E8" w:rsidRPr="002911E8" w:rsidRDefault="002911E8" w:rsidP="002911E8"/>
              </w:tc>
            </w:tr>
          </w:tbl>
          <w:p w:rsidR="002911E8" w:rsidRPr="002911E8" w:rsidRDefault="002911E8" w:rsidP="002911E8"/>
        </w:tc>
      </w:tr>
    </w:tbl>
    <w:p w:rsidR="009B4BAB" w:rsidRDefault="009B4BAB"/>
    <w:sectPr w:rsidR="009B4B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4124F9"/>
    <w:multiLevelType w:val="multilevel"/>
    <w:tmpl w:val="45380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1E8"/>
    <w:rsid w:val="002911E8"/>
    <w:rsid w:val="009B4B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11E8"/>
    <w:rPr>
      <w:color w:val="0000FF" w:themeColor="hyperlink"/>
      <w:u w:val="single"/>
    </w:rPr>
  </w:style>
  <w:style w:type="paragraph" w:styleId="BalloonText">
    <w:name w:val="Balloon Text"/>
    <w:basedOn w:val="Normal"/>
    <w:link w:val="BalloonTextChar"/>
    <w:uiPriority w:val="99"/>
    <w:semiHidden/>
    <w:unhideWhenUsed/>
    <w:rsid w:val="002911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11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11E8"/>
    <w:rPr>
      <w:color w:val="0000FF" w:themeColor="hyperlink"/>
      <w:u w:val="single"/>
    </w:rPr>
  </w:style>
  <w:style w:type="paragraph" w:styleId="BalloonText">
    <w:name w:val="Balloon Text"/>
    <w:basedOn w:val="Normal"/>
    <w:link w:val="BalloonTextChar"/>
    <w:uiPriority w:val="99"/>
    <w:semiHidden/>
    <w:unhideWhenUsed/>
    <w:rsid w:val="002911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11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2364818">
      <w:bodyDiv w:val="1"/>
      <w:marLeft w:val="0"/>
      <w:marRight w:val="0"/>
      <w:marTop w:val="0"/>
      <w:marBottom w:val="0"/>
      <w:divBdr>
        <w:top w:val="none" w:sz="0" w:space="0" w:color="auto"/>
        <w:left w:val="none" w:sz="0" w:space="0" w:color="auto"/>
        <w:bottom w:val="none" w:sz="0" w:space="0" w:color="auto"/>
        <w:right w:val="none" w:sz="0" w:space="0" w:color="auto"/>
      </w:divBdr>
      <w:divsChild>
        <w:div w:id="857767693">
          <w:marLeft w:val="75"/>
          <w:marRight w:val="75"/>
          <w:marTop w:val="0"/>
          <w:marBottom w:val="0"/>
          <w:divBdr>
            <w:top w:val="none" w:sz="0" w:space="0" w:color="auto"/>
            <w:left w:val="none" w:sz="0" w:space="0" w:color="auto"/>
            <w:bottom w:val="none" w:sz="0" w:space="0" w:color="auto"/>
            <w:right w:val="none" w:sz="0" w:space="0" w:color="auto"/>
          </w:divBdr>
          <w:divsChild>
            <w:div w:id="233320481">
              <w:marLeft w:val="0"/>
              <w:marRight w:val="105"/>
              <w:marTop w:val="0"/>
              <w:marBottom w:val="0"/>
              <w:divBdr>
                <w:top w:val="none" w:sz="0" w:space="0" w:color="auto"/>
                <w:left w:val="none" w:sz="0" w:space="0" w:color="auto"/>
                <w:bottom w:val="none" w:sz="0" w:space="0" w:color="auto"/>
                <w:right w:val="none" w:sz="0" w:space="0" w:color="auto"/>
              </w:divBdr>
              <w:divsChild>
                <w:div w:id="1449160418">
                  <w:marLeft w:val="0"/>
                  <w:marRight w:val="0"/>
                  <w:marTop w:val="210"/>
                  <w:marBottom w:val="0"/>
                  <w:divBdr>
                    <w:top w:val="none" w:sz="0" w:space="0" w:color="auto"/>
                    <w:left w:val="none" w:sz="0" w:space="0" w:color="auto"/>
                    <w:bottom w:val="none" w:sz="0" w:space="0" w:color="auto"/>
                    <w:right w:val="none" w:sz="0" w:space="0" w:color="auto"/>
                  </w:divBdr>
                </w:div>
              </w:divsChild>
            </w:div>
            <w:div w:id="1054893917">
              <w:marLeft w:val="0"/>
              <w:marRight w:val="0"/>
              <w:marTop w:val="0"/>
              <w:marBottom w:val="105"/>
              <w:divBdr>
                <w:top w:val="none" w:sz="0" w:space="0" w:color="auto"/>
                <w:left w:val="none" w:sz="0" w:space="0" w:color="auto"/>
                <w:bottom w:val="none" w:sz="0" w:space="0" w:color="auto"/>
                <w:right w:val="none" w:sz="0" w:space="0" w:color="auto"/>
              </w:divBdr>
              <w:divsChild>
                <w:div w:id="350836847">
                  <w:marLeft w:val="0"/>
                  <w:marRight w:val="0"/>
                  <w:marTop w:val="105"/>
                  <w:marBottom w:val="0"/>
                  <w:divBdr>
                    <w:top w:val="none" w:sz="0" w:space="0" w:color="auto"/>
                    <w:left w:val="none" w:sz="0" w:space="0" w:color="auto"/>
                    <w:bottom w:val="none" w:sz="0" w:space="0" w:color="auto"/>
                    <w:right w:val="none" w:sz="0" w:space="0" w:color="auto"/>
                  </w:divBdr>
                  <w:divsChild>
                    <w:div w:id="1645937173">
                      <w:marLeft w:val="75"/>
                      <w:marRight w:val="0"/>
                      <w:marTop w:val="0"/>
                      <w:marBottom w:val="0"/>
                      <w:divBdr>
                        <w:top w:val="none" w:sz="0" w:space="0" w:color="auto"/>
                        <w:left w:val="none" w:sz="0" w:space="0" w:color="auto"/>
                        <w:bottom w:val="none" w:sz="0" w:space="0" w:color="auto"/>
                        <w:right w:val="none" w:sz="0" w:space="0" w:color="auto"/>
                      </w:divBdr>
                      <w:divsChild>
                        <w:div w:id="961888420">
                          <w:marLeft w:val="0"/>
                          <w:marRight w:val="0"/>
                          <w:marTop w:val="0"/>
                          <w:marBottom w:val="0"/>
                          <w:divBdr>
                            <w:top w:val="single" w:sz="6" w:space="0" w:color="CCCCCC"/>
                            <w:left w:val="single" w:sz="6" w:space="0" w:color="CCCCCC"/>
                            <w:bottom w:val="single" w:sz="6" w:space="0" w:color="CCCCCC"/>
                            <w:right w:val="single" w:sz="6" w:space="0" w:color="CCCCCC"/>
                          </w:divBdr>
                          <w:divsChild>
                            <w:div w:id="121728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522321">
                      <w:marLeft w:val="0"/>
                      <w:marRight w:val="0"/>
                      <w:marTop w:val="0"/>
                      <w:marBottom w:val="315"/>
                      <w:divBdr>
                        <w:top w:val="none" w:sz="0" w:space="0" w:color="auto"/>
                        <w:left w:val="none" w:sz="0" w:space="0" w:color="auto"/>
                        <w:bottom w:val="none" w:sz="0" w:space="0" w:color="auto"/>
                        <w:right w:val="none" w:sz="0" w:space="0" w:color="auto"/>
                      </w:divBdr>
                      <w:divsChild>
                        <w:div w:id="1475412700">
                          <w:marLeft w:val="0"/>
                          <w:marRight w:val="0"/>
                          <w:marTop w:val="105"/>
                          <w:marBottom w:val="0"/>
                          <w:divBdr>
                            <w:top w:val="none" w:sz="0" w:space="0" w:color="auto"/>
                            <w:left w:val="none" w:sz="0" w:space="0" w:color="auto"/>
                            <w:bottom w:val="none" w:sz="0" w:space="0" w:color="auto"/>
                            <w:right w:val="none" w:sz="0" w:space="0" w:color="auto"/>
                          </w:divBdr>
                        </w:div>
                      </w:divsChild>
                    </w:div>
                    <w:div w:id="533467755">
                      <w:marLeft w:val="0"/>
                      <w:marRight w:val="0"/>
                      <w:marTop w:val="0"/>
                      <w:marBottom w:val="210"/>
                      <w:divBdr>
                        <w:top w:val="none" w:sz="0" w:space="0" w:color="auto"/>
                        <w:left w:val="none" w:sz="0" w:space="0" w:color="auto"/>
                        <w:bottom w:val="none" w:sz="0" w:space="0" w:color="auto"/>
                        <w:right w:val="none" w:sz="0" w:space="0" w:color="auto"/>
                      </w:divBdr>
                      <w:divsChild>
                        <w:div w:id="1878857844">
                          <w:marLeft w:val="0"/>
                          <w:marRight w:val="0"/>
                          <w:marTop w:val="21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105"/>
                              <w:divBdr>
                                <w:top w:val="none" w:sz="0" w:space="0" w:color="auto"/>
                                <w:left w:val="none" w:sz="0" w:space="0" w:color="auto"/>
                                <w:bottom w:val="none" w:sz="0" w:space="0" w:color="auto"/>
                                <w:right w:val="none" w:sz="0" w:space="0" w:color="auto"/>
                              </w:divBdr>
                              <w:divsChild>
                                <w:div w:id="816069827">
                                  <w:marLeft w:val="0"/>
                                  <w:marRight w:val="0"/>
                                  <w:marTop w:val="105"/>
                                  <w:marBottom w:val="0"/>
                                  <w:divBdr>
                                    <w:top w:val="none" w:sz="0" w:space="0" w:color="auto"/>
                                    <w:left w:val="none" w:sz="0" w:space="0" w:color="auto"/>
                                    <w:bottom w:val="none" w:sz="0" w:space="0" w:color="auto"/>
                                    <w:right w:val="none" w:sz="0" w:space="0" w:color="auto"/>
                                  </w:divBdr>
                                </w:div>
                              </w:divsChild>
                            </w:div>
                            <w:div w:id="132335937">
                              <w:marLeft w:val="0"/>
                              <w:marRight w:val="0"/>
                              <w:marTop w:val="0"/>
                              <w:marBottom w:val="105"/>
                              <w:divBdr>
                                <w:top w:val="none" w:sz="0" w:space="0" w:color="auto"/>
                                <w:left w:val="none" w:sz="0" w:space="0" w:color="auto"/>
                                <w:bottom w:val="none" w:sz="0" w:space="0" w:color="auto"/>
                                <w:right w:val="none" w:sz="0" w:space="0" w:color="auto"/>
                              </w:divBdr>
                              <w:divsChild>
                                <w:div w:id="26804828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741919">
              <w:marLeft w:val="0"/>
              <w:marRight w:val="0"/>
              <w:marTop w:val="0"/>
              <w:marBottom w:val="105"/>
              <w:divBdr>
                <w:top w:val="none" w:sz="0" w:space="0" w:color="auto"/>
                <w:left w:val="none" w:sz="0" w:space="0" w:color="auto"/>
                <w:bottom w:val="none" w:sz="0" w:space="0" w:color="auto"/>
                <w:right w:val="none" w:sz="0" w:space="0" w:color="auto"/>
              </w:divBdr>
              <w:divsChild>
                <w:div w:id="2048026339">
                  <w:marLeft w:val="0"/>
                  <w:marRight w:val="0"/>
                  <w:marTop w:val="105"/>
                  <w:marBottom w:val="0"/>
                  <w:divBdr>
                    <w:top w:val="none" w:sz="0" w:space="0" w:color="auto"/>
                    <w:left w:val="none" w:sz="0" w:space="0" w:color="auto"/>
                    <w:bottom w:val="none" w:sz="0" w:space="0" w:color="auto"/>
                    <w:right w:val="none" w:sz="0" w:space="0" w:color="auto"/>
                  </w:divBdr>
                </w:div>
              </w:divsChild>
            </w:div>
            <w:div w:id="2010476291">
              <w:marLeft w:val="0"/>
              <w:marRight w:val="0"/>
              <w:marTop w:val="0"/>
              <w:marBottom w:val="105"/>
              <w:divBdr>
                <w:top w:val="none" w:sz="0" w:space="0" w:color="auto"/>
                <w:left w:val="none" w:sz="0" w:space="0" w:color="auto"/>
                <w:bottom w:val="none" w:sz="0" w:space="0" w:color="auto"/>
                <w:right w:val="none" w:sz="0" w:space="0" w:color="auto"/>
              </w:divBdr>
              <w:divsChild>
                <w:div w:id="1279071106">
                  <w:marLeft w:val="0"/>
                  <w:marRight w:val="0"/>
                  <w:marTop w:val="105"/>
                  <w:marBottom w:val="0"/>
                  <w:divBdr>
                    <w:top w:val="none" w:sz="0" w:space="0" w:color="auto"/>
                    <w:left w:val="none" w:sz="0" w:space="0" w:color="auto"/>
                    <w:bottom w:val="none" w:sz="0" w:space="0" w:color="auto"/>
                    <w:right w:val="none" w:sz="0" w:space="0" w:color="auto"/>
                  </w:divBdr>
                </w:div>
              </w:divsChild>
            </w:div>
            <w:div w:id="1494221187">
              <w:marLeft w:val="0"/>
              <w:marRight w:val="0"/>
              <w:marTop w:val="0"/>
              <w:marBottom w:val="105"/>
              <w:divBdr>
                <w:top w:val="none" w:sz="0" w:space="0" w:color="auto"/>
                <w:left w:val="none" w:sz="0" w:space="0" w:color="auto"/>
                <w:bottom w:val="none" w:sz="0" w:space="0" w:color="auto"/>
                <w:right w:val="none" w:sz="0" w:space="0" w:color="auto"/>
              </w:divBdr>
              <w:divsChild>
                <w:div w:id="1693796763">
                  <w:marLeft w:val="0"/>
                  <w:marRight w:val="0"/>
                  <w:marTop w:val="105"/>
                  <w:marBottom w:val="0"/>
                  <w:divBdr>
                    <w:top w:val="none" w:sz="0" w:space="0" w:color="auto"/>
                    <w:left w:val="none" w:sz="0" w:space="0" w:color="auto"/>
                    <w:bottom w:val="none" w:sz="0" w:space="0" w:color="auto"/>
                    <w:right w:val="none" w:sz="0" w:space="0" w:color="auto"/>
                  </w:divBdr>
                </w:div>
              </w:divsChild>
            </w:div>
            <w:div w:id="809594667">
              <w:marLeft w:val="0"/>
              <w:marRight w:val="0"/>
              <w:marTop w:val="0"/>
              <w:marBottom w:val="105"/>
              <w:divBdr>
                <w:top w:val="none" w:sz="0" w:space="0" w:color="auto"/>
                <w:left w:val="none" w:sz="0" w:space="0" w:color="auto"/>
                <w:bottom w:val="none" w:sz="0" w:space="0" w:color="auto"/>
                <w:right w:val="none" w:sz="0" w:space="0" w:color="auto"/>
              </w:divBdr>
              <w:divsChild>
                <w:div w:id="1969164560">
                  <w:marLeft w:val="0"/>
                  <w:marRight w:val="0"/>
                  <w:marTop w:val="105"/>
                  <w:marBottom w:val="0"/>
                  <w:divBdr>
                    <w:top w:val="none" w:sz="0" w:space="0" w:color="auto"/>
                    <w:left w:val="none" w:sz="0" w:space="0" w:color="auto"/>
                    <w:bottom w:val="none" w:sz="0" w:space="0" w:color="auto"/>
                    <w:right w:val="none" w:sz="0" w:space="0" w:color="auto"/>
                  </w:divBdr>
                </w:div>
              </w:divsChild>
            </w:div>
            <w:div w:id="1263534296">
              <w:marLeft w:val="0"/>
              <w:marRight w:val="0"/>
              <w:marTop w:val="0"/>
              <w:marBottom w:val="105"/>
              <w:divBdr>
                <w:top w:val="none" w:sz="0" w:space="0" w:color="auto"/>
                <w:left w:val="none" w:sz="0" w:space="0" w:color="auto"/>
                <w:bottom w:val="none" w:sz="0" w:space="0" w:color="auto"/>
                <w:right w:val="none" w:sz="0" w:space="0" w:color="auto"/>
              </w:divBdr>
              <w:divsChild>
                <w:div w:id="1811898997">
                  <w:marLeft w:val="0"/>
                  <w:marRight w:val="0"/>
                  <w:marTop w:val="105"/>
                  <w:marBottom w:val="0"/>
                  <w:divBdr>
                    <w:top w:val="none" w:sz="0" w:space="0" w:color="auto"/>
                    <w:left w:val="none" w:sz="0" w:space="0" w:color="auto"/>
                    <w:bottom w:val="none" w:sz="0" w:space="0" w:color="auto"/>
                    <w:right w:val="none" w:sz="0" w:space="0" w:color="auto"/>
                  </w:divBdr>
                </w:div>
              </w:divsChild>
            </w:div>
            <w:div w:id="626084638">
              <w:marLeft w:val="0"/>
              <w:marRight w:val="0"/>
              <w:marTop w:val="0"/>
              <w:marBottom w:val="105"/>
              <w:divBdr>
                <w:top w:val="none" w:sz="0" w:space="0" w:color="auto"/>
                <w:left w:val="none" w:sz="0" w:space="0" w:color="auto"/>
                <w:bottom w:val="none" w:sz="0" w:space="0" w:color="auto"/>
                <w:right w:val="none" w:sz="0" w:space="0" w:color="auto"/>
              </w:divBdr>
              <w:divsChild>
                <w:div w:id="2147039180">
                  <w:marLeft w:val="0"/>
                  <w:marRight w:val="0"/>
                  <w:marTop w:val="105"/>
                  <w:marBottom w:val="0"/>
                  <w:divBdr>
                    <w:top w:val="none" w:sz="0" w:space="0" w:color="auto"/>
                    <w:left w:val="none" w:sz="0" w:space="0" w:color="auto"/>
                    <w:bottom w:val="none" w:sz="0" w:space="0" w:color="auto"/>
                    <w:right w:val="none" w:sz="0" w:space="0" w:color="auto"/>
                  </w:divBdr>
                  <w:divsChild>
                    <w:div w:id="1763404784">
                      <w:marLeft w:val="0"/>
                      <w:marRight w:val="0"/>
                      <w:marTop w:val="105"/>
                      <w:marBottom w:val="105"/>
                      <w:divBdr>
                        <w:top w:val="none" w:sz="0" w:space="0" w:color="auto"/>
                        <w:left w:val="none" w:sz="0" w:space="0" w:color="auto"/>
                        <w:bottom w:val="none" w:sz="0" w:space="0" w:color="auto"/>
                        <w:right w:val="none" w:sz="0" w:space="0" w:color="auto"/>
                      </w:divBdr>
                      <w:divsChild>
                        <w:div w:id="1575313978">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 w:id="1584873563">
              <w:marLeft w:val="0"/>
              <w:marRight w:val="0"/>
              <w:marTop w:val="0"/>
              <w:marBottom w:val="0"/>
              <w:divBdr>
                <w:top w:val="none" w:sz="0" w:space="0" w:color="auto"/>
                <w:left w:val="none" w:sz="0" w:space="0" w:color="auto"/>
                <w:bottom w:val="none" w:sz="0" w:space="0" w:color="auto"/>
                <w:right w:val="none" w:sz="0" w:space="0" w:color="auto"/>
              </w:divBdr>
            </w:div>
            <w:div w:id="2064407565">
              <w:marLeft w:val="0"/>
              <w:marRight w:val="0"/>
              <w:marTop w:val="0"/>
              <w:marBottom w:val="105"/>
              <w:divBdr>
                <w:top w:val="none" w:sz="0" w:space="0" w:color="auto"/>
                <w:left w:val="none" w:sz="0" w:space="0" w:color="auto"/>
                <w:bottom w:val="none" w:sz="0" w:space="0" w:color="auto"/>
                <w:right w:val="none" w:sz="0" w:space="0" w:color="auto"/>
              </w:divBdr>
              <w:divsChild>
                <w:div w:id="1111896601">
                  <w:marLeft w:val="0"/>
                  <w:marRight w:val="0"/>
                  <w:marTop w:val="105"/>
                  <w:marBottom w:val="0"/>
                  <w:divBdr>
                    <w:top w:val="none" w:sz="0" w:space="0" w:color="auto"/>
                    <w:left w:val="none" w:sz="0" w:space="0" w:color="auto"/>
                    <w:bottom w:val="none" w:sz="0" w:space="0" w:color="auto"/>
                    <w:right w:val="none" w:sz="0" w:space="0" w:color="auto"/>
                  </w:divBdr>
                  <w:divsChild>
                    <w:div w:id="978388283">
                      <w:marLeft w:val="360"/>
                      <w:marRight w:val="0"/>
                      <w:marTop w:val="0"/>
                      <w:marBottom w:val="0"/>
                      <w:divBdr>
                        <w:top w:val="none" w:sz="0" w:space="0" w:color="auto"/>
                        <w:left w:val="none" w:sz="0" w:space="0" w:color="auto"/>
                        <w:bottom w:val="none" w:sz="0" w:space="0" w:color="auto"/>
                        <w:right w:val="none" w:sz="0" w:space="0" w:color="auto"/>
                      </w:divBdr>
                      <w:divsChild>
                        <w:div w:id="1994487578">
                          <w:marLeft w:val="0"/>
                          <w:marRight w:val="0"/>
                          <w:marTop w:val="0"/>
                          <w:marBottom w:val="105"/>
                          <w:divBdr>
                            <w:top w:val="none" w:sz="0" w:space="0" w:color="auto"/>
                            <w:left w:val="none" w:sz="0" w:space="0" w:color="auto"/>
                            <w:bottom w:val="none" w:sz="0" w:space="0" w:color="auto"/>
                            <w:right w:val="none" w:sz="0" w:space="0" w:color="auto"/>
                          </w:divBdr>
                          <w:divsChild>
                            <w:div w:id="1960332730">
                              <w:marLeft w:val="0"/>
                              <w:marRight w:val="0"/>
                              <w:marTop w:val="105"/>
                              <w:marBottom w:val="0"/>
                              <w:divBdr>
                                <w:top w:val="none" w:sz="0" w:space="0" w:color="auto"/>
                                <w:left w:val="none" w:sz="0" w:space="0" w:color="auto"/>
                                <w:bottom w:val="none" w:sz="0" w:space="0" w:color="auto"/>
                                <w:right w:val="none" w:sz="0" w:space="0" w:color="auto"/>
                              </w:divBdr>
                              <w:divsChild>
                                <w:div w:id="1867671082">
                                  <w:marLeft w:val="0"/>
                                  <w:marRight w:val="0"/>
                                  <w:marTop w:val="210"/>
                                  <w:marBottom w:val="0"/>
                                  <w:divBdr>
                                    <w:top w:val="none" w:sz="0" w:space="0" w:color="auto"/>
                                    <w:left w:val="none" w:sz="0" w:space="0" w:color="auto"/>
                                    <w:bottom w:val="none" w:sz="0" w:space="0" w:color="auto"/>
                                    <w:right w:val="none" w:sz="0" w:space="0" w:color="auto"/>
                                  </w:divBdr>
                                </w:div>
                                <w:div w:id="1884947619">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 w:id="990254607">
                      <w:marLeft w:val="0"/>
                      <w:marRight w:val="0"/>
                      <w:marTop w:val="0"/>
                      <w:marBottom w:val="105"/>
                      <w:divBdr>
                        <w:top w:val="none" w:sz="0" w:space="0" w:color="auto"/>
                        <w:left w:val="none" w:sz="0" w:space="0" w:color="auto"/>
                        <w:bottom w:val="none" w:sz="0" w:space="0" w:color="auto"/>
                        <w:right w:val="none" w:sz="0" w:space="0" w:color="auto"/>
                      </w:divBdr>
                      <w:divsChild>
                        <w:div w:id="950362804">
                          <w:marLeft w:val="0"/>
                          <w:marRight w:val="0"/>
                          <w:marTop w:val="105"/>
                          <w:marBottom w:val="0"/>
                          <w:divBdr>
                            <w:top w:val="none" w:sz="0" w:space="0" w:color="auto"/>
                            <w:left w:val="none" w:sz="0" w:space="0" w:color="auto"/>
                            <w:bottom w:val="none" w:sz="0" w:space="0" w:color="auto"/>
                            <w:right w:val="none" w:sz="0" w:space="0" w:color="auto"/>
                          </w:divBdr>
                          <w:divsChild>
                            <w:div w:id="1450397802">
                              <w:marLeft w:val="0"/>
                              <w:marRight w:val="0"/>
                              <w:marTop w:val="0"/>
                              <w:marBottom w:val="210"/>
                              <w:divBdr>
                                <w:top w:val="none" w:sz="0" w:space="0" w:color="auto"/>
                                <w:left w:val="none" w:sz="0" w:space="0" w:color="auto"/>
                                <w:bottom w:val="none" w:sz="0" w:space="0" w:color="auto"/>
                                <w:right w:val="none" w:sz="0" w:space="0" w:color="auto"/>
                              </w:divBdr>
                              <w:divsChild>
                                <w:div w:id="765931178">
                                  <w:marLeft w:val="0"/>
                                  <w:marRight w:val="0"/>
                                  <w:marTop w:val="210"/>
                                  <w:marBottom w:val="0"/>
                                  <w:divBdr>
                                    <w:top w:val="none" w:sz="0" w:space="0" w:color="auto"/>
                                    <w:left w:val="none" w:sz="0" w:space="0" w:color="auto"/>
                                    <w:bottom w:val="none" w:sz="0" w:space="0" w:color="auto"/>
                                    <w:right w:val="none" w:sz="0" w:space="0" w:color="auto"/>
                                  </w:divBdr>
                                  <w:divsChild>
                                    <w:div w:id="1874882849">
                                      <w:marLeft w:val="0"/>
                                      <w:marRight w:val="0"/>
                                      <w:marTop w:val="0"/>
                                      <w:marBottom w:val="105"/>
                                      <w:divBdr>
                                        <w:top w:val="none" w:sz="0" w:space="0" w:color="auto"/>
                                        <w:left w:val="none" w:sz="0" w:space="0" w:color="auto"/>
                                        <w:bottom w:val="none" w:sz="0" w:space="0" w:color="auto"/>
                                        <w:right w:val="none" w:sz="0" w:space="0" w:color="auto"/>
                                      </w:divBdr>
                                      <w:divsChild>
                                        <w:div w:id="64331374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315136851">
                              <w:marLeft w:val="0"/>
                              <w:marRight w:val="0"/>
                              <w:marTop w:val="0"/>
                              <w:marBottom w:val="105"/>
                              <w:divBdr>
                                <w:top w:val="none" w:sz="0" w:space="0" w:color="auto"/>
                                <w:left w:val="none" w:sz="0" w:space="0" w:color="auto"/>
                                <w:bottom w:val="none" w:sz="0" w:space="0" w:color="auto"/>
                                <w:right w:val="none" w:sz="0" w:space="0" w:color="auto"/>
                              </w:divBdr>
                              <w:divsChild>
                                <w:div w:id="509370176">
                                  <w:marLeft w:val="0"/>
                                  <w:marRight w:val="0"/>
                                  <w:marTop w:val="105"/>
                                  <w:marBottom w:val="0"/>
                                  <w:divBdr>
                                    <w:top w:val="none" w:sz="0" w:space="0" w:color="auto"/>
                                    <w:left w:val="none" w:sz="0" w:space="0" w:color="auto"/>
                                    <w:bottom w:val="none" w:sz="0" w:space="0" w:color="auto"/>
                                    <w:right w:val="none" w:sz="0" w:space="0" w:color="auto"/>
                                  </w:divBdr>
                                  <w:divsChild>
                                    <w:div w:id="1283730086">
                                      <w:marLeft w:val="0"/>
                                      <w:marRight w:val="0"/>
                                      <w:marTop w:val="105"/>
                                      <w:marBottom w:val="105"/>
                                      <w:divBdr>
                                        <w:top w:val="none" w:sz="0" w:space="0" w:color="auto"/>
                                        <w:left w:val="none" w:sz="0" w:space="0" w:color="auto"/>
                                        <w:bottom w:val="none" w:sz="0" w:space="0" w:color="auto"/>
                                        <w:right w:val="none" w:sz="0" w:space="0" w:color="auto"/>
                                      </w:divBdr>
                                      <w:divsChild>
                                        <w:div w:id="125130500">
                                          <w:marLeft w:val="0"/>
                                          <w:marRight w:val="105"/>
                                          <w:marTop w:val="0"/>
                                          <w:marBottom w:val="0"/>
                                          <w:divBdr>
                                            <w:top w:val="none" w:sz="0" w:space="0" w:color="auto"/>
                                            <w:left w:val="none" w:sz="0" w:space="0" w:color="auto"/>
                                            <w:bottom w:val="none" w:sz="0" w:space="0" w:color="auto"/>
                                            <w:right w:val="none" w:sz="0" w:space="0" w:color="auto"/>
                                          </w:divBdr>
                                        </w:div>
                                      </w:divsChild>
                                    </w:div>
                                    <w:div w:id="1196114618">
                                      <w:marLeft w:val="0"/>
                                      <w:marRight w:val="0"/>
                                      <w:marTop w:val="105"/>
                                      <w:marBottom w:val="105"/>
                                      <w:divBdr>
                                        <w:top w:val="none" w:sz="0" w:space="0" w:color="auto"/>
                                        <w:left w:val="none" w:sz="0" w:space="0" w:color="auto"/>
                                        <w:bottom w:val="none" w:sz="0" w:space="0" w:color="auto"/>
                                        <w:right w:val="none" w:sz="0" w:space="0" w:color="auto"/>
                                      </w:divBdr>
                                      <w:divsChild>
                                        <w:div w:id="971834113">
                                          <w:marLeft w:val="0"/>
                                          <w:marRight w:val="105"/>
                                          <w:marTop w:val="0"/>
                                          <w:marBottom w:val="0"/>
                                          <w:divBdr>
                                            <w:top w:val="none" w:sz="0" w:space="0" w:color="auto"/>
                                            <w:left w:val="none" w:sz="0" w:space="0" w:color="auto"/>
                                            <w:bottom w:val="none" w:sz="0" w:space="0" w:color="auto"/>
                                            <w:right w:val="none" w:sz="0" w:space="0" w:color="auto"/>
                                          </w:divBdr>
                                        </w:div>
                                      </w:divsChild>
                                    </w:div>
                                    <w:div w:id="1299263247">
                                      <w:marLeft w:val="0"/>
                                      <w:marRight w:val="0"/>
                                      <w:marTop w:val="105"/>
                                      <w:marBottom w:val="105"/>
                                      <w:divBdr>
                                        <w:top w:val="none" w:sz="0" w:space="0" w:color="auto"/>
                                        <w:left w:val="none" w:sz="0" w:space="0" w:color="auto"/>
                                        <w:bottom w:val="none" w:sz="0" w:space="0" w:color="auto"/>
                                        <w:right w:val="none" w:sz="0" w:space="0" w:color="auto"/>
                                      </w:divBdr>
                                      <w:divsChild>
                                        <w:div w:id="1706370543">
                                          <w:marLeft w:val="0"/>
                                          <w:marRight w:val="105"/>
                                          <w:marTop w:val="0"/>
                                          <w:marBottom w:val="0"/>
                                          <w:divBdr>
                                            <w:top w:val="none" w:sz="0" w:space="0" w:color="auto"/>
                                            <w:left w:val="none" w:sz="0" w:space="0" w:color="auto"/>
                                            <w:bottom w:val="none" w:sz="0" w:space="0" w:color="auto"/>
                                            <w:right w:val="none" w:sz="0" w:space="0" w:color="auto"/>
                                          </w:divBdr>
                                        </w:div>
                                      </w:divsChild>
                                    </w:div>
                                    <w:div w:id="147984028">
                                      <w:marLeft w:val="0"/>
                                      <w:marRight w:val="0"/>
                                      <w:marTop w:val="105"/>
                                      <w:marBottom w:val="105"/>
                                      <w:divBdr>
                                        <w:top w:val="none" w:sz="0" w:space="0" w:color="auto"/>
                                        <w:left w:val="none" w:sz="0" w:space="0" w:color="auto"/>
                                        <w:bottom w:val="none" w:sz="0" w:space="0" w:color="auto"/>
                                        <w:right w:val="none" w:sz="0" w:space="0" w:color="auto"/>
                                      </w:divBdr>
                                      <w:divsChild>
                                        <w:div w:id="1542783910">
                                          <w:marLeft w:val="0"/>
                                          <w:marRight w:val="105"/>
                                          <w:marTop w:val="0"/>
                                          <w:marBottom w:val="0"/>
                                          <w:divBdr>
                                            <w:top w:val="none" w:sz="0" w:space="0" w:color="auto"/>
                                            <w:left w:val="none" w:sz="0" w:space="0" w:color="auto"/>
                                            <w:bottom w:val="none" w:sz="0" w:space="0" w:color="auto"/>
                                            <w:right w:val="none" w:sz="0" w:space="0" w:color="auto"/>
                                          </w:divBdr>
                                        </w:div>
                                      </w:divsChild>
                                    </w:div>
                                    <w:div w:id="2090350535">
                                      <w:marLeft w:val="0"/>
                                      <w:marRight w:val="0"/>
                                      <w:marTop w:val="105"/>
                                      <w:marBottom w:val="105"/>
                                      <w:divBdr>
                                        <w:top w:val="none" w:sz="0" w:space="0" w:color="auto"/>
                                        <w:left w:val="none" w:sz="0" w:space="0" w:color="auto"/>
                                        <w:bottom w:val="none" w:sz="0" w:space="0" w:color="auto"/>
                                        <w:right w:val="none" w:sz="0" w:space="0" w:color="auto"/>
                                      </w:divBdr>
                                      <w:divsChild>
                                        <w:div w:id="233249587">
                                          <w:marLeft w:val="0"/>
                                          <w:marRight w:val="105"/>
                                          <w:marTop w:val="0"/>
                                          <w:marBottom w:val="0"/>
                                          <w:divBdr>
                                            <w:top w:val="none" w:sz="0" w:space="0" w:color="auto"/>
                                            <w:left w:val="none" w:sz="0" w:space="0" w:color="auto"/>
                                            <w:bottom w:val="none" w:sz="0" w:space="0" w:color="auto"/>
                                            <w:right w:val="none" w:sz="0" w:space="0" w:color="auto"/>
                                          </w:divBdr>
                                        </w:div>
                                      </w:divsChild>
                                    </w:div>
                                    <w:div w:id="715085294">
                                      <w:marLeft w:val="0"/>
                                      <w:marRight w:val="0"/>
                                      <w:marTop w:val="105"/>
                                      <w:marBottom w:val="105"/>
                                      <w:divBdr>
                                        <w:top w:val="none" w:sz="0" w:space="0" w:color="auto"/>
                                        <w:left w:val="none" w:sz="0" w:space="0" w:color="auto"/>
                                        <w:bottom w:val="none" w:sz="0" w:space="0" w:color="auto"/>
                                        <w:right w:val="none" w:sz="0" w:space="0" w:color="auto"/>
                                      </w:divBdr>
                                      <w:divsChild>
                                        <w:div w:id="1935939180">
                                          <w:marLeft w:val="0"/>
                                          <w:marRight w:val="105"/>
                                          <w:marTop w:val="0"/>
                                          <w:marBottom w:val="0"/>
                                          <w:divBdr>
                                            <w:top w:val="none" w:sz="0" w:space="0" w:color="auto"/>
                                            <w:left w:val="none" w:sz="0" w:space="0" w:color="auto"/>
                                            <w:bottom w:val="none" w:sz="0" w:space="0" w:color="auto"/>
                                            <w:right w:val="none" w:sz="0" w:space="0" w:color="auto"/>
                                          </w:divBdr>
                                        </w:div>
                                      </w:divsChild>
                                    </w:div>
                                    <w:div w:id="384331398">
                                      <w:marLeft w:val="0"/>
                                      <w:marRight w:val="0"/>
                                      <w:marTop w:val="105"/>
                                      <w:marBottom w:val="105"/>
                                      <w:divBdr>
                                        <w:top w:val="none" w:sz="0" w:space="0" w:color="auto"/>
                                        <w:left w:val="none" w:sz="0" w:space="0" w:color="auto"/>
                                        <w:bottom w:val="none" w:sz="0" w:space="0" w:color="auto"/>
                                        <w:right w:val="none" w:sz="0" w:space="0" w:color="auto"/>
                                      </w:divBdr>
                                      <w:divsChild>
                                        <w:div w:id="743526479">
                                          <w:marLeft w:val="0"/>
                                          <w:marRight w:val="105"/>
                                          <w:marTop w:val="0"/>
                                          <w:marBottom w:val="0"/>
                                          <w:divBdr>
                                            <w:top w:val="none" w:sz="0" w:space="0" w:color="auto"/>
                                            <w:left w:val="none" w:sz="0" w:space="0" w:color="auto"/>
                                            <w:bottom w:val="none" w:sz="0" w:space="0" w:color="auto"/>
                                            <w:right w:val="none" w:sz="0" w:space="0" w:color="auto"/>
                                          </w:divBdr>
                                        </w:div>
                                      </w:divsChild>
                                    </w:div>
                                    <w:div w:id="693655994">
                                      <w:marLeft w:val="0"/>
                                      <w:marRight w:val="0"/>
                                      <w:marTop w:val="105"/>
                                      <w:marBottom w:val="105"/>
                                      <w:divBdr>
                                        <w:top w:val="none" w:sz="0" w:space="0" w:color="auto"/>
                                        <w:left w:val="none" w:sz="0" w:space="0" w:color="auto"/>
                                        <w:bottom w:val="none" w:sz="0" w:space="0" w:color="auto"/>
                                        <w:right w:val="none" w:sz="0" w:space="0" w:color="auto"/>
                                      </w:divBdr>
                                      <w:divsChild>
                                        <w:div w:id="857429349">
                                          <w:marLeft w:val="0"/>
                                          <w:marRight w:val="105"/>
                                          <w:marTop w:val="0"/>
                                          <w:marBottom w:val="0"/>
                                          <w:divBdr>
                                            <w:top w:val="none" w:sz="0" w:space="0" w:color="auto"/>
                                            <w:left w:val="none" w:sz="0" w:space="0" w:color="auto"/>
                                            <w:bottom w:val="none" w:sz="0" w:space="0" w:color="auto"/>
                                            <w:right w:val="none" w:sz="0" w:space="0" w:color="auto"/>
                                          </w:divBdr>
                                        </w:div>
                                      </w:divsChild>
                                    </w:div>
                                    <w:div w:id="1858735303">
                                      <w:marLeft w:val="0"/>
                                      <w:marRight w:val="0"/>
                                      <w:marTop w:val="105"/>
                                      <w:marBottom w:val="105"/>
                                      <w:divBdr>
                                        <w:top w:val="none" w:sz="0" w:space="0" w:color="auto"/>
                                        <w:left w:val="none" w:sz="0" w:space="0" w:color="auto"/>
                                        <w:bottom w:val="none" w:sz="0" w:space="0" w:color="auto"/>
                                        <w:right w:val="none" w:sz="0" w:space="0" w:color="auto"/>
                                      </w:divBdr>
                                      <w:divsChild>
                                        <w:div w:id="1181432615">
                                          <w:marLeft w:val="0"/>
                                          <w:marRight w:val="105"/>
                                          <w:marTop w:val="0"/>
                                          <w:marBottom w:val="0"/>
                                          <w:divBdr>
                                            <w:top w:val="none" w:sz="0" w:space="0" w:color="auto"/>
                                            <w:left w:val="none" w:sz="0" w:space="0" w:color="auto"/>
                                            <w:bottom w:val="none" w:sz="0" w:space="0" w:color="auto"/>
                                            <w:right w:val="none" w:sz="0" w:space="0" w:color="auto"/>
                                          </w:divBdr>
                                        </w:div>
                                      </w:divsChild>
                                    </w:div>
                                    <w:div w:id="1689677724">
                                      <w:marLeft w:val="0"/>
                                      <w:marRight w:val="0"/>
                                      <w:marTop w:val="105"/>
                                      <w:marBottom w:val="105"/>
                                      <w:divBdr>
                                        <w:top w:val="none" w:sz="0" w:space="0" w:color="auto"/>
                                        <w:left w:val="none" w:sz="0" w:space="0" w:color="auto"/>
                                        <w:bottom w:val="none" w:sz="0" w:space="0" w:color="auto"/>
                                        <w:right w:val="none" w:sz="0" w:space="0" w:color="auto"/>
                                      </w:divBdr>
                                      <w:divsChild>
                                        <w:div w:id="1095322675">
                                          <w:marLeft w:val="0"/>
                                          <w:marRight w:val="105"/>
                                          <w:marTop w:val="0"/>
                                          <w:marBottom w:val="0"/>
                                          <w:divBdr>
                                            <w:top w:val="none" w:sz="0" w:space="0" w:color="auto"/>
                                            <w:left w:val="none" w:sz="0" w:space="0" w:color="auto"/>
                                            <w:bottom w:val="none" w:sz="0" w:space="0" w:color="auto"/>
                                            <w:right w:val="none" w:sz="0" w:space="0" w:color="auto"/>
                                          </w:divBdr>
                                        </w:div>
                                      </w:divsChild>
                                    </w:div>
                                    <w:div w:id="794560441">
                                      <w:marLeft w:val="0"/>
                                      <w:marRight w:val="0"/>
                                      <w:marTop w:val="105"/>
                                      <w:marBottom w:val="105"/>
                                      <w:divBdr>
                                        <w:top w:val="none" w:sz="0" w:space="0" w:color="auto"/>
                                        <w:left w:val="none" w:sz="0" w:space="0" w:color="auto"/>
                                        <w:bottom w:val="none" w:sz="0" w:space="0" w:color="auto"/>
                                        <w:right w:val="none" w:sz="0" w:space="0" w:color="auto"/>
                                      </w:divBdr>
                                      <w:divsChild>
                                        <w:div w:id="1871840401">
                                          <w:marLeft w:val="0"/>
                                          <w:marRight w:val="105"/>
                                          <w:marTop w:val="0"/>
                                          <w:marBottom w:val="0"/>
                                          <w:divBdr>
                                            <w:top w:val="none" w:sz="0" w:space="0" w:color="auto"/>
                                            <w:left w:val="none" w:sz="0" w:space="0" w:color="auto"/>
                                            <w:bottom w:val="none" w:sz="0" w:space="0" w:color="auto"/>
                                            <w:right w:val="none" w:sz="0" w:space="0" w:color="auto"/>
                                          </w:divBdr>
                                        </w:div>
                                      </w:divsChild>
                                    </w:div>
                                    <w:div w:id="1348412471">
                                      <w:marLeft w:val="0"/>
                                      <w:marRight w:val="0"/>
                                      <w:marTop w:val="105"/>
                                      <w:marBottom w:val="105"/>
                                      <w:divBdr>
                                        <w:top w:val="none" w:sz="0" w:space="0" w:color="auto"/>
                                        <w:left w:val="none" w:sz="0" w:space="0" w:color="auto"/>
                                        <w:bottom w:val="none" w:sz="0" w:space="0" w:color="auto"/>
                                        <w:right w:val="none" w:sz="0" w:space="0" w:color="auto"/>
                                      </w:divBdr>
                                      <w:divsChild>
                                        <w:div w:id="1179930194">
                                          <w:marLeft w:val="0"/>
                                          <w:marRight w:val="105"/>
                                          <w:marTop w:val="0"/>
                                          <w:marBottom w:val="0"/>
                                          <w:divBdr>
                                            <w:top w:val="none" w:sz="0" w:space="0" w:color="auto"/>
                                            <w:left w:val="none" w:sz="0" w:space="0" w:color="auto"/>
                                            <w:bottom w:val="none" w:sz="0" w:space="0" w:color="auto"/>
                                            <w:right w:val="none" w:sz="0" w:space="0" w:color="auto"/>
                                          </w:divBdr>
                                        </w:div>
                                      </w:divsChild>
                                    </w:div>
                                    <w:div w:id="263536540">
                                      <w:marLeft w:val="0"/>
                                      <w:marRight w:val="0"/>
                                      <w:marTop w:val="105"/>
                                      <w:marBottom w:val="105"/>
                                      <w:divBdr>
                                        <w:top w:val="none" w:sz="0" w:space="0" w:color="auto"/>
                                        <w:left w:val="none" w:sz="0" w:space="0" w:color="auto"/>
                                        <w:bottom w:val="none" w:sz="0" w:space="0" w:color="auto"/>
                                        <w:right w:val="none" w:sz="0" w:space="0" w:color="auto"/>
                                      </w:divBdr>
                                      <w:divsChild>
                                        <w:div w:id="1634755354">
                                          <w:marLeft w:val="0"/>
                                          <w:marRight w:val="105"/>
                                          <w:marTop w:val="0"/>
                                          <w:marBottom w:val="0"/>
                                          <w:divBdr>
                                            <w:top w:val="none" w:sz="0" w:space="0" w:color="auto"/>
                                            <w:left w:val="none" w:sz="0" w:space="0" w:color="auto"/>
                                            <w:bottom w:val="none" w:sz="0" w:space="0" w:color="auto"/>
                                            <w:right w:val="none" w:sz="0" w:space="0" w:color="auto"/>
                                          </w:divBdr>
                                        </w:div>
                                      </w:divsChild>
                                    </w:div>
                                    <w:div w:id="556017828">
                                      <w:marLeft w:val="0"/>
                                      <w:marRight w:val="0"/>
                                      <w:marTop w:val="105"/>
                                      <w:marBottom w:val="105"/>
                                      <w:divBdr>
                                        <w:top w:val="none" w:sz="0" w:space="0" w:color="auto"/>
                                        <w:left w:val="none" w:sz="0" w:space="0" w:color="auto"/>
                                        <w:bottom w:val="none" w:sz="0" w:space="0" w:color="auto"/>
                                        <w:right w:val="none" w:sz="0" w:space="0" w:color="auto"/>
                                      </w:divBdr>
                                      <w:divsChild>
                                        <w:div w:id="1648895289">
                                          <w:marLeft w:val="0"/>
                                          <w:marRight w:val="105"/>
                                          <w:marTop w:val="0"/>
                                          <w:marBottom w:val="0"/>
                                          <w:divBdr>
                                            <w:top w:val="none" w:sz="0" w:space="0" w:color="auto"/>
                                            <w:left w:val="none" w:sz="0" w:space="0" w:color="auto"/>
                                            <w:bottom w:val="none" w:sz="0" w:space="0" w:color="auto"/>
                                            <w:right w:val="none" w:sz="0" w:space="0" w:color="auto"/>
                                          </w:divBdr>
                                        </w:div>
                                      </w:divsChild>
                                    </w:div>
                                    <w:div w:id="1395852395">
                                      <w:marLeft w:val="0"/>
                                      <w:marRight w:val="0"/>
                                      <w:marTop w:val="105"/>
                                      <w:marBottom w:val="105"/>
                                      <w:divBdr>
                                        <w:top w:val="none" w:sz="0" w:space="0" w:color="auto"/>
                                        <w:left w:val="none" w:sz="0" w:space="0" w:color="auto"/>
                                        <w:bottom w:val="none" w:sz="0" w:space="0" w:color="auto"/>
                                        <w:right w:val="none" w:sz="0" w:space="0" w:color="auto"/>
                                      </w:divBdr>
                                      <w:divsChild>
                                        <w:div w:id="568808699">
                                          <w:marLeft w:val="0"/>
                                          <w:marRight w:val="105"/>
                                          <w:marTop w:val="0"/>
                                          <w:marBottom w:val="0"/>
                                          <w:divBdr>
                                            <w:top w:val="none" w:sz="0" w:space="0" w:color="auto"/>
                                            <w:left w:val="none" w:sz="0" w:space="0" w:color="auto"/>
                                            <w:bottom w:val="none" w:sz="0" w:space="0" w:color="auto"/>
                                            <w:right w:val="none" w:sz="0" w:space="0" w:color="auto"/>
                                          </w:divBdr>
                                        </w:div>
                                      </w:divsChild>
                                    </w:div>
                                    <w:div w:id="1028021173">
                                      <w:marLeft w:val="0"/>
                                      <w:marRight w:val="0"/>
                                      <w:marTop w:val="105"/>
                                      <w:marBottom w:val="105"/>
                                      <w:divBdr>
                                        <w:top w:val="none" w:sz="0" w:space="0" w:color="auto"/>
                                        <w:left w:val="none" w:sz="0" w:space="0" w:color="auto"/>
                                        <w:bottom w:val="none" w:sz="0" w:space="0" w:color="auto"/>
                                        <w:right w:val="none" w:sz="0" w:space="0" w:color="auto"/>
                                      </w:divBdr>
                                      <w:divsChild>
                                        <w:div w:id="1997806539">
                                          <w:marLeft w:val="0"/>
                                          <w:marRight w:val="105"/>
                                          <w:marTop w:val="0"/>
                                          <w:marBottom w:val="0"/>
                                          <w:divBdr>
                                            <w:top w:val="none" w:sz="0" w:space="0" w:color="auto"/>
                                            <w:left w:val="none" w:sz="0" w:space="0" w:color="auto"/>
                                            <w:bottom w:val="none" w:sz="0" w:space="0" w:color="auto"/>
                                            <w:right w:val="none" w:sz="0" w:space="0" w:color="auto"/>
                                          </w:divBdr>
                                        </w:div>
                                      </w:divsChild>
                                    </w:div>
                                    <w:div w:id="1544249500">
                                      <w:marLeft w:val="0"/>
                                      <w:marRight w:val="0"/>
                                      <w:marTop w:val="105"/>
                                      <w:marBottom w:val="105"/>
                                      <w:divBdr>
                                        <w:top w:val="none" w:sz="0" w:space="0" w:color="auto"/>
                                        <w:left w:val="none" w:sz="0" w:space="0" w:color="auto"/>
                                        <w:bottom w:val="none" w:sz="0" w:space="0" w:color="auto"/>
                                        <w:right w:val="none" w:sz="0" w:space="0" w:color="auto"/>
                                      </w:divBdr>
                                      <w:divsChild>
                                        <w:div w:id="1065448508">
                                          <w:marLeft w:val="0"/>
                                          <w:marRight w:val="105"/>
                                          <w:marTop w:val="0"/>
                                          <w:marBottom w:val="0"/>
                                          <w:divBdr>
                                            <w:top w:val="none" w:sz="0" w:space="0" w:color="auto"/>
                                            <w:left w:val="none" w:sz="0" w:space="0" w:color="auto"/>
                                            <w:bottom w:val="none" w:sz="0" w:space="0" w:color="auto"/>
                                            <w:right w:val="none" w:sz="0" w:space="0" w:color="auto"/>
                                          </w:divBdr>
                                        </w:div>
                                      </w:divsChild>
                                    </w:div>
                                    <w:div w:id="1748721835">
                                      <w:marLeft w:val="0"/>
                                      <w:marRight w:val="0"/>
                                      <w:marTop w:val="105"/>
                                      <w:marBottom w:val="105"/>
                                      <w:divBdr>
                                        <w:top w:val="none" w:sz="0" w:space="0" w:color="auto"/>
                                        <w:left w:val="none" w:sz="0" w:space="0" w:color="auto"/>
                                        <w:bottom w:val="none" w:sz="0" w:space="0" w:color="auto"/>
                                        <w:right w:val="none" w:sz="0" w:space="0" w:color="auto"/>
                                      </w:divBdr>
                                      <w:divsChild>
                                        <w:div w:id="1857185975">
                                          <w:marLeft w:val="0"/>
                                          <w:marRight w:val="105"/>
                                          <w:marTop w:val="0"/>
                                          <w:marBottom w:val="0"/>
                                          <w:divBdr>
                                            <w:top w:val="none" w:sz="0" w:space="0" w:color="auto"/>
                                            <w:left w:val="none" w:sz="0" w:space="0" w:color="auto"/>
                                            <w:bottom w:val="none" w:sz="0" w:space="0" w:color="auto"/>
                                            <w:right w:val="none" w:sz="0" w:space="0" w:color="auto"/>
                                          </w:divBdr>
                                        </w:div>
                                      </w:divsChild>
                                    </w:div>
                                    <w:div w:id="1429229744">
                                      <w:marLeft w:val="0"/>
                                      <w:marRight w:val="0"/>
                                      <w:marTop w:val="105"/>
                                      <w:marBottom w:val="105"/>
                                      <w:divBdr>
                                        <w:top w:val="none" w:sz="0" w:space="0" w:color="auto"/>
                                        <w:left w:val="none" w:sz="0" w:space="0" w:color="auto"/>
                                        <w:bottom w:val="none" w:sz="0" w:space="0" w:color="auto"/>
                                        <w:right w:val="none" w:sz="0" w:space="0" w:color="auto"/>
                                      </w:divBdr>
                                      <w:divsChild>
                                        <w:div w:id="569466622">
                                          <w:marLeft w:val="0"/>
                                          <w:marRight w:val="105"/>
                                          <w:marTop w:val="0"/>
                                          <w:marBottom w:val="0"/>
                                          <w:divBdr>
                                            <w:top w:val="none" w:sz="0" w:space="0" w:color="auto"/>
                                            <w:left w:val="none" w:sz="0" w:space="0" w:color="auto"/>
                                            <w:bottom w:val="none" w:sz="0" w:space="0" w:color="auto"/>
                                            <w:right w:val="none" w:sz="0" w:space="0" w:color="auto"/>
                                          </w:divBdr>
                                        </w:div>
                                      </w:divsChild>
                                    </w:div>
                                    <w:div w:id="756291318">
                                      <w:marLeft w:val="0"/>
                                      <w:marRight w:val="0"/>
                                      <w:marTop w:val="105"/>
                                      <w:marBottom w:val="105"/>
                                      <w:divBdr>
                                        <w:top w:val="none" w:sz="0" w:space="0" w:color="auto"/>
                                        <w:left w:val="none" w:sz="0" w:space="0" w:color="auto"/>
                                        <w:bottom w:val="none" w:sz="0" w:space="0" w:color="auto"/>
                                        <w:right w:val="none" w:sz="0" w:space="0" w:color="auto"/>
                                      </w:divBdr>
                                      <w:divsChild>
                                        <w:div w:id="357976234">
                                          <w:marLeft w:val="0"/>
                                          <w:marRight w:val="105"/>
                                          <w:marTop w:val="0"/>
                                          <w:marBottom w:val="0"/>
                                          <w:divBdr>
                                            <w:top w:val="none" w:sz="0" w:space="0" w:color="auto"/>
                                            <w:left w:val="none" w:sz="0" w:space="0" w:color="auto"/>
                                            <w:bottom w:val="none" w:sz="0" w:space="0" w:color="auto"/>
                                            <w:right w:val="none" w:sz="0" w:space="0" w:color="auto"/>
                                          </w:divBdr>
                                        </w:div>
                                      </w:divsChild>
                                    </w:div>
                                    <w:div w:id="1089503001">
                                      <w:marLeft w:val="0"/>
                                      <w:marRight w:val="0"/>
                                      <w:marTop w:val="105"/>
                                      <w:marBottom w:val="105"/>
                                      <w:divBdr>
                                        <w:top w:val="none" w:sz="0" w:space="0" w:color="auto"/>
                                        <w:left w:val="none" w:sz="0" w:space="0" w:color="auto"/>
                                        <w:bottom w:val="none" w:sz="0" w:space="0" w:color="auto"/>
                                        <w:right w:val="none" w:sz="0" w:space="0" w:color="auto"/>
                                      </w:divBdr>
                                      <w:divsChild>
                                        <w:div w:id="1563446219">
                                          <w:marLeft w:val="0"/>
                                          <w:marRight w:val="105"/>
                                          <w:marTop w:val="0"/>
                                          <w:marBottom w:val="0"/>
                                          <w:divBdr>
                                            <w:top w:val="none" w:sz="0" w:space="0" w:color="auto"/>
                                            <w:left w:val="none" w:sz="0" w:space="0" w:color="auto"/>
                                            <w:bottom w:val="none" w:sz="0" w:space="0" w:color="auto"/>
                                            <w:right w:val="none" w:sz="0" w:space="0" w:color="auto"/>
                                          </w:divBdr>
                                        </w:div>
                                      </w:divsChild>
                                    </w:div>
                                    <w:div w:id="719205763">
                                      <w:marLeft w:val="0"/>
                                      <w:marRight w:val="0"/>
                                      <w:marTop w:val="105"/>
                                      <w:marBottom w:val="105"/>
                                      <w:divBdr>
                                        <w:top w:val="none" w:sz="0" w:space="0" w:color="auto"/>
                                        <w:left w:val="none" w:sz="0" w:space="0" w:color="auto"/>
                                        <w:bottom w:val="none" w:sz="0" w:space="0" w:color="auto"/>
                                        <w:right w:val="none" w:sz="0" w:space="0" w:color="auto"/>
                                      </w:divBdr>
                                      <w:divsChild>
                                        <w:div w:id="584338375">
                                          <w:marLeft w:val="0"/>
                                          <w:marRight w:val="105"/>
                                          <w:marTop w:val="0"/>
                                          <w:marBottom w:val="0"/>
                                          <w:divBdr>
                                            <w:top w:val="none" w:sz="0" w:space="0" w:color="auto"/>
                                            <w:left w:val="none" w:sz="0" w:space="0" w:color="auto"/>
                                            <w:bottom w:val="none" w:sz="0" w:space="0" w:color="auto"/>
                                            <w:right w:val="none" w:sz="0" w:space="0" w:color="auto"/>
                                          </w:divBdr>
                                        </w:div>
                                      </w:divsChild>
                                    </w:div>
                                    <w:div w:id="1372071838">
                                      <w:marLeft w:val="0"/>
                                      <w:marRight w:val="0"/>
                                      <w:marTop w:val="105"/>
                                      <w:marBottom w:val="105"/>
                                      <w:divBdr>
                                        <w:top w:val="none" w:sz="0" w:space="0" w:color="auto"/>
                                        <w:left w:val="none" w:sz="0" w:space="0" w:color="auto"/>
                                        <w:bottom w:val="none" w:sz="0" w:space="0" w:color="auto"/>
                                        <w:right w:val="none" w:sz="0" w:space="0" w:color="auto"/>
                                      </w:divBdr>
                                      <w:divsChild>
                                        <w:div w:id="135949829">
                                          <w:marLeft w:val="0"/>
                                          <w:marRight w:val="105"/>
                                          <w:marTop w:val="0"/>
                                          <w:marBottom w:val="0"/>
                                          <w:divBdr>
                                            <w:top w:val="none" w:sz="0" w:space="0" w:color="auto"/>
                                            <w:left w:val="none" w:sz="0" w:space="0" w:color="auto"/>
                                            <w:bottom w:val="none" w:sz="0" w:space="0" w:color="auto"/>
                                            <w:right w:val="none" w:sz="0" w:space="0" w:color="auto"/>
                                          </w:divBdr>
                                        </w:div>
                                      </w:divsChild>
                                    </w:div>
                                    <w:div w:id="716855887">
                                      <w:marLeft w:val="0"/>
                                      <w:marRight w:val="0"/>
                                      <w:marTop w:val="105"/>
                                      <w:marBottom w:val="105"/>
                                      <w:divBdr>
                                        <w:top w:val="none" w:sz="0" w:space="0" w:color="auto"/>
                                        <w:left w:val="none" w:sz="0" w:space="0" w:color="auto"/>
                                        <w:bottom w:val="none" w:sz="0" w:space="0" w:color="auto"/>
                                        <w:right w:val="none" w:sz="0" w:space="0" w:color="auto"/>
                                      </w:divBdr>
                                      <w:divsChild>
                                        <w:div w:id="1682275344">
                                          <w:marLeft w:val="0"/>
                                          <w:marRight w:val="105"/>
                                          <w:marTop w:val="0"/>
                                          <w:marBottom w:val="0"/>
                                          <w:divBdr>
                                            <w:top w:val="none" w:sz="0" w:space="0" w:color="auto"/>
                                            <w:left w:val="none" w:sz="0" w:space="0" w:color="auto"/>
                                            <w:bottom w:val="none" w:sz="0" w:space="0" w:color="auto"/>
                                            <w:right w:val="none" w:sz="0" w:space="0" w:color="auto"/>
                                          </w:divBdr>
                                        </w:div>
                                      </w:divsChild>
                                    </w:div>
                                    <w:div w:id="1853299244">
                                      <w:marLeft w:val="0"/>
                                      <w:marRight w:val="0"/>
                                      <w:marTop w:val="105"/>
                                      <w:marBottom w:val="105"/>
                                      <w:divBdr>
                                        <w:top w:val="none" w:sz="0" w:space="0" w:color="auto"/>
                                        <w:left w:val="none" w:sz="0" w:space="0" w:color="auto"/>
                                        <w:bottom w:val="none" w:sz="0" w:space="0" w:color="auto"/>
                                        <w:right w:val="none" w:sz="0" w:space="0" w:color="auto"/>
                                      </w:divBdr>
                                      <w:divsChild>
                                        <w:div w:id="707877770">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1403880">
                      <w:marLeft w:val="0"/>
                      <w:marRight w:val="0"/>
                      <w:marTop w:val="0"/>
                      <w:marBottom w:val="105"/>
                      <w:divBdr>
                        <w:top w:val="none" w:sz="0" w:space="0" w:color="auto"/>
                        <w:left w:val="none" w:sz="0" w:space="0" w:color="auto"/>
                        <w:bottom w:val="none" w:sz="0" w:space="0" w:color="auto"/>
                        <w:right w:val="none" w:sz="0" w:space="0" w:color="auto"/>
                      </w:divBdr>
                      <w:divsChild>
                        <w:div w:id="1469592890">
                          <w:marLeft w:val="0"/>
                          <w:marRight w:val="0"/>
                          <w:marTop w:val="105"/>
                          <w:marBottom w:val="0"/>
                          <w:divBdr>
                            <w:top w:val="none" w:sz="0" w:space="0" w:color="auto"/>
                            <w:left w:val="none" w:sz="0" w:space="0" w:color="auto"/>
                            <w:bottom w:val="none" w:sz="0" w:space="0" w:color="auto"/>
                            <w:right w:val="none" w:sz="0" w:space="0" w:color="auto"/>
                          </w:divBdr>
                          <w:divsChild>
                            <w:div w:id="1471900495">
                              <w:marLeft w:val="0"/>
                              <w:marRight w:val="0"/>
                              <w:marTop w:val="0"/>
                              <w:marBottom w:val="0"/>
                              <w:divBdr>
                                <w:top w:val="none" w:sz="0" w:space="0" w:color="auto"/>
                                <w:left w:val="none" w:sz="0" w:space="0" w:color="auto"/>
                                <w:bottom w:val="none" w:sz="0" w:space="0" w:color="auto"/>
                                <w:right w:val="none" w:sz="0" w:space="0" w:color="auto"/>
                              </w:divBdr>
                            </w:div>
                            <w:div w:id="687221221">
                              <w:marLeft w:val="0"/>
                              <w:marRight w:val="0"/>
                              <w:marTop w:val="105"/>
                              <w:marBottom w:val="105"/>
                              <w:divBdr>
                                <w:top w:val="none" w:sz="0" w:space="0" w:color="auto"/>
                                <w:left w:val="none" w:sz="0" w:space="0" w:color="auto"/>
                                <w:bottom w:val="none" w:sz="0" w:space="0" w:color="auto"/>
                                <w:right w:val="none" w:sz="0" w:space="0" w:color="auto"/>
                              </w:divBdr>
                              <w:divsChild>
                                <w:div w:id="1642232141">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 w:id="1857386019">
                      <w:marLeft w:val="360"/>
                      <w:marRight w:val="0"/>
                      <w:marTop w:val="0"/>
                      <w:marBottom w:val="0"/>
                      <w:divBdr>
                        <w:top w:val="none" w:sz="0" w:space="0" w:color="auto"/>
                        <w:left w:val="none" w:sz="0" w:space="0" w:color="auto"/>
                        <w:bottom w:val="none" w:sz="0" w:space="0" w:color="auto"/>
                        <w:right w:val="none" w:sz="0" w:space="0" w:color="auto"/>
                      </w:divBdr>
                      <w:divsChild>
                        <w:div w:id="2036346556">
                          <w:marLeft w:val="0"/>
                          <w:marRight w:val="0"/>
                          <w:marTop w:val="0"/>
                          <w:marBottom w:val="105"/>
                          <w:divBdr>
                            <w:top w:val="none" w:sz="0" w:space="0" w:color="auto"/>
                            <w:left w:val="none" w:sz="0" w:space="0" w:color="auto"/>
                            <w:bottom w:val="none" w:sz="0" w:space="0" w:color="auto"/>
                            <w:right w:val="none" w:sz="0" w:space="0" w:color="auto"/>
                          </w:divBdr>
                          <w:divsChild>
                            <w:div w:id="141385654">
                              <w:marLeft w:val="0"/>
                              <w:marRight w:val="0"/>
                              <w:marTop w:val="105"/>
                              <w:marBottom w:val="0"/>
                              <w:divBdr>
                                <w:top w:val="none" w:sz="0" w:space="0" w:color="auto"/>
                                <w:left w:val="none" w:sz="0" w:space="0" w:color="auto"/>
                                <w:bottom w:val="none" w:sz="0" w:space="0" w:color="auto"/>
                                <w:right w:val="none" w:sz="0" w:space="0" w:color="auto"/>
                              </w:divBdr>
                              <w:divsChild>
                                <w:div w:id="646589700">
                                  <w:marLeft w:val="0"/>
                                  <w:marRight w:val="0"/>
                                  <w:marTop w:val="210"/>
                                  <w:marBottom w:val="0"/>
                                  <w:divBdr>
                                    <w:top w:val="none" w:sz="0" w:space="0" w:color="auto"/>
                                    <w:left w:val="none" w:sz="0" w:space="0" w:color="auto"/>
                                    <w:bottom w:val="none" w:sz="0" w:space="0" w:color="auto"/>
                                    <w:right w:val="none" w:sz="0" w:space="0" w:color="auto"/>
                                  </w:divBdr>
                                </w:div>
                                <w:div w:id="276108743">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595282">
              <w:marLeft w:val="0"/>
              <w:marRight w:val="105"/>
              <w:marTop w:val="0"/>
              <w:marBottom w:val="0"/>
              <w:divBdr>
                <w:top w:val="none" w:sz="0" w:space="0" w:color="auto"/>
                <w:left w:val="none" w:sz="0" w:space="0" w:color="auto"/>
                <w:bottom w:val="none" w:sz="0" w:space="0" w:color="auto"/>
                <w:right w:val="none" w:sz="0" w:space="0" w:color="auto"/>
              </w:divBdr>
              <w:divsChild>
                <w:div w:id="522789653">
                  <w:marLeft w:val="0"/>
                  <w:marRight w:val="0"/>
                  <w:marTop w:val="0"/>
                  <w:marBottom w:val="105"/>
                  <w:divBdr>
                    <w:top w:val="none" w:sz="0" w:space="0" w:color="auto"/>
                    <w:left w:val="none" w:sz="0" w:space="0" w:color="auto"/>
                    <w:bottom w:val="none" w:sz="0" w:space="0" w:color="auto"/>
                    <w:right w:val="none" w:sz="0" w:space="0" w:color="auto"/>
                  </w:divBdr>
                  <w:divsChild>
                    <w:div w:id="189477787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01146700">
          <w:marLeft w:val="0"/>
          <w:marRight w:val="0"/>
          <w:marTop w:val="0"/>
          <w:marBottom w:val="0"/>
          <w:divBdr>
            <w:top w:val="none" w:sz="0" w:space="0" w:color="auto"/>
            <w:left w:val="none" w:sz="0" w:space="0" w:color="auto"/>
            <w:bottom w:val="none" w:sz="0" w:space="0" w:color="auto"/>
            <w:right w:val="none" w:sz="0" w:space="0" w:color="auto"/>
          </w:divBdr>
        </w:div>
        <w:div w:id="1043211656">
          <w:marLeft w:val="0"/>
          <w:marRight w:val="0"/>
          <w:marTop w:val="600"/>
          <w:marBottom w:val="0"/>
          <w:divBdr>
            <w:top w:val="single" w:sz="6" w:space="0" w:color="CCCCCC"/>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hyperlink" Target="javascript:backToTopLink();" TargetMode="External"/><Relationship Id="rId18" Type="http://schemas.openxmlformats.org/officeDocument/2006/relationships/hyperlink" Target="http://www.lexisnexis.com/terms/copr/lngp/au/"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image" Target="media/image6.gif"/><Relationship Id="rId17" Type="http://schemas.openxmlformats.org/officeDocument/2006/relationships/hyperlink" Target="http://www.lexisnexis.com/au/legal/auth/myid.do" TargetMode="External"/><Relationship Id="rId2" Type="http://schemas.openxmlformats.org/officeDocument/2006/relationships/styles" Target="styles.xml"/><Relationship Id="rId16" Type="http://schemas.openxmlformats.org/officeDocument/2006/relationships/hyperlink" Target="http://www.lexisnexis.com/au/legal/auth/displayterms.do?content=GENERA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5.gif"/><Relationship Id="rId5" Type="http://schemas.openxmlformats.org/officeDocument/2006/relationships/webSettings" Target="webSettings.xml"/><Relationship Id="rId15" Type="http://schemas.openxmlformats.org/officeDocument/2006/relationships/hyperlink" Target="http://www.lexisnexis.com.au/about-us/default.aspx" TargetMode="External"/><Relationship Id="rId10" Type="http://schemas.openxmlformats.org/officeDocument/2006/relationships/image" Target="media/image4.gif"/><Relationship Id="rId19" Type="http://schemas.openxmlformats.org/officeDocument/2006/relationships/hyperlink" Target="javascript:openExternalLink('http://www.lexisnexis.com.au')" TargetMode="External"/><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image" Target="media/image7.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15907</Words>
  <Characters>90675</Characters>
  <Application>Microsoft Office Word</Application>
  <DocSecurity>0</DocSecurity>
  <Lines>755</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Author</cp:lastModifiedBy>
  <cp:revision>1</cp:revision>
  <dcterms:created xsi:type="dcterms:W3CDTF">2012-10-01T05:04:00Z</dcterms:created>
  <dcterms:modified xsi:type="dcterms:W3CDTF">2012-10-01T05:05:00Z</dcterms:modified>
</cp:coreProperties>
</file>