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72639" w:rsidRDefault="00172639" w:rsidP="00172639">
      <w:pPr>
        <w:pStyle w:val="NormalWeb"/>
        <w:rPr>
          <w:rFonts w:ascii="Arial" w:hAnsi="Arial" w:cs="Arial"/>
        </w:rPr>
      </w:pPr>
      <w:r>
        <w:rPr>
          <w:rFonts w:ascii="Arial" w:hAnsi="Arial" w:cs="Arial"/>
        </w:rPr>
        <w:t xml:space="preserve">Re COOK </w:t>
      </w:r>
    </w:p>
    <w:p w:rsidR="00172639" w:rsidRDefault="00172639" w:rsidP="00172639">
      <w:pPr>
        <w:pStyle w:val="NormalWeb"/>
        <w:rPr>
          <w:rFonts w:ascii="Arial" w:hAnsi="Arial" w:cs="Arial"/>
        </w:rPr>
      </w:pPr>
      <w:r>
        <w:rPr>
          <w:rFonts w:ascii="Arial" w:hAnsi="Arial" w:cs="Arial"/>
        </w:rPr>
        <w:t xml:space="preserve">SUPREME COURT OF VICTORIA </w:t>
      </w:r>
    </w:p>
    <w:p w:rsidR="00172639" w:rsidRDefault="00172639" w:rsidP="00172639">
      <w:pPr>
        <w:pStyle w:val="NormalWeb"/>
        <w:rPr>
          <w:rFonts w:ascii="Arial" w:hAnsi="Arial" w:cs="Arial"/>
        </w:rPr>
      </w:pPr>
      <w:r>
        <w:rPr>
          <w:rFonts w:ascii="Arial" w:hAnsi="Arial" w:cs="Arial"/>
        </w:rPr>
        <w:t xml:space="preserve">GILLARD, J </w:t>
      </w:r>
    </w:p>
    <w:p w:rsidR="00172639" w:rsidRDefault="00172639" w:rsidP="00172639">
      <w:pPr>
        <w:pStyle w:val="NormalWeb"/>
        <w:rPr>
          <w:rFonts w:ascii="Arial" w:hAnsi="Arial" w:cs="Arial"/>
        </w:rPr>
      </w:pPr>
      <w:r>
        <w:rPr>
          <w:rFonts w:ascii="Arial" w:hAnsi="Arial" w:cs="Arial"/>
        </w:rPr>
        <w:t xml:space="preserve">5, 12, 29 June 1964 </w:t>
      </w:r>
    </w:p>
    <w:p w:rsidR="00E41633" w:rsidRDefault="00172639" w:rsidP="00172639">
      <w:pPr>
        <w:pStyle w:val="NormalWeb"/>
        <w:rPr>
          <w:rFonts w:ascii="Arial" w:hAnsi="Arial" w:cs="Arial"/>
        </w:rPr>
      </w:pPr>
      <w:r>
        <w:rPr>
          <w:rFonts w:ascii="Arial" w:hAnsi="Arial" w:cs="Arial"/>
          <w:b/>
          <w:bCs/>
        </w:rPr>
        <w:t>Gillard, J</w:t>
      </w:r>
      <w:r>
        <w:rPr>
          <w:rFonts w:ascii="Arial" w:hAnsi="Arial" w:cs="Arial"/>
        </w:rPr>
        <w:t xml:space="preserve">, delivered the following written judgment: This is an application under the provisions of </w:t>
      </w:r>
      <w:hyperlink r:id="rId5" w:history="1">
        <w:r>
          <w:rPr>
            <w:rStyle w:val="Hyperlink"/>
            <w:rFonts w:ascii="Arial" w:hAnsi="Arial" w:cs="Arial"/>
          </w:rPr>
          <w:t>s84(1)</w:t>
        </w:r>
      </w:hyperlink>
      <w:r>
        <w:rPr>
          <w:rFonts w:ascii="Arial" w:hAnsi="Arial" w:cs="Arial"/>
        </w:rPr>
        <w:t xml:space="preserve"> of the </w:t>
      </w:r>
      <w:hyperlink r:id="rId6" w:history="1">
        <w:r>
          <w:rPr>
            <w:rStyle w:val="Hyperlink"/>
            <w:rFonts w:ascii="Arial" w:hAnsi="Arial" w:cs="Arial"/>
          </w:rPr>
          <w:t>Property Law Act 1958</w:t>
        </w:r>
      </w:hyperlink>
      <w:r>
        <w:rPr>
          <w:rFonts w:ascii="Arial" w:hAnsi="Arial" w:cs="Arial"/>
        </w:rPr>
        <w:t xml:space="preserve"> by Lawrence Edward Cook, whom I shall hereinafter refer to as the applicant, to modify a covenant with respect to lot 85 on LP 8431. In effect, the restriction at present imposed on this lot is that only one private dwelling may be erected thereon. The applicant, who is the owner of the lot, has acquired the area contiguous to it, on the north side thereof having a frontage of 22 feet 8 inches to Loma Linda Grove, which was originally set out on the plan of subdivision as part of a drainage reserve which traverses the subdivision from east to west. The </w:t>
      </w:r>
    </w:p>
    <w:p w:rsidR="00E41633" w:rsidRDefault="00E41633" w:rsidP="00172639">
      <w:pPr>
        <w:pStyle w:val="NormalWeb"/>
        <w:rPr>
          <w:rFonts w:ascii="Arial" w:hAnsi="Arial" w:cs="Arial"/>
        </w:rPr>
      </w:pPr>
      <w:r>
        <w:rPr>
          <w:rFonts w:ascii="Arial" w:hAnsi="Arial" w:cs="Arial"/>
        </w:rPr>
        <w:t>[809]</w:t>
      </w:r>
    </w:p>
    <w:p w:rsidR="00172639" w:rsidRDefault="00172639" w:rsidP="00172639">
      <w:pPr>
        <w:pStyle w:val="NormalWeb"/>
        <w:rPr>
          <w:rFonts w:ascii="Arial" w:hAnsi="Arial" w:cs="Arial"/>
        </w:rPr>
      </w:pPr>
      <w:r>
        <w:rPr>
          <w:rFonts w:ascii="Arial" w:hAnsi="Arial" w:cs="Arial"/>
        </w:rPr>
        <w:t xml:space="preserve">applicant has now subdivided lot 85 and this reserved area into two allotments of quite reasonable dimensions. He proposes to build on one of the new allotments and to sell the other. He therefore desires to modify the original restriction on lot 85 by imposing a new restriction on each of the two lots now subdivided by him whereby one private dwelling may be built on each of such new lots. When the application came before me on 5 June the applicant proposed to rely upon the provisions of paragraph (a) of </w:t>
      </w:r>
      <w:hyperlink r:id="rId7" w:history="1">
        <w:r>
          <w:rPr>
            <w:rStyle w:val="Hyperlink"/>
            <w:rFonts w:ascii="Arial" w:hAnsi="Arial" w:cs="Arial"/>
          </w:rPr>
          <w:t>s84(1).</w:t>
        </w:r>
      </w:hyperlink>
      <w:r>
        <w:rPr>
          <w:rFonts w:ascii="Arial" w:hAnsi="Arial" w:cs="Arial"/>
        </w:rPr>
        <w:t xml:space="preserve"> Having regard to the provisions of that paragraph and the relevant authority interpreting the same and because of the material placed before me, the application on its face was hopeless. To do justice to the applicant's position, however, it perhaps should be added that, when the proceedings were originally initiated by the applicant, the relevant law governing the covenant in this case would probably have been covered by the Full Court decision in Re Arcade Hotel Pty Ltd, </w:t>
      </w:r>
      <w:hyperlink r:id="rId8" w:tooltip="View Case" w:history="1">
        <w:r>
          <w:rPr>
            <w:rStyle w:val="Hyperlink"/>
            <w:rFonts w:ascii="Arial" w:hAnsi="Arial" w:cs="Arial"/>
          </w:rPr>
          <w:t xml:space="preserve">[1962] </w:t>
        </w:r>
        <w:proofErr w:type="spellStart"/>
        <w:r>
          <w:rPr>
            <w:rStyle w:val="Hyperlink"/>
            <w:rFonts w:ascii="Arial" w:hAnsi="Arial" w:cs="Arial"/>
          </w:rPr>
          <w:t>VicRp</w:t>
        </w:r>
        <w:proofErr w:type="spellEnd"/>
        <w:r>
          <w:rPr>
            <w:rStyle w:val="Hyperlink"/>
            <w:rFonts w:ascii="Arial" w:hAnsi="Arial" w:cs="Arial"/>
          </w:rPr>
          <w:t xml:space="preserve"> 41</w:t>
        </w:r>
      </w:hyperlink>
      <w:r>
        <w:rPr>
          <w:rFonts w:ascii="Arial" w:hAnsi="Arial" w:cs="Arial"/>
        </w:rPr>
        <w:t xml:space="preserve">; </w:t>
      </w:r>
      <w:hyperlink r:id="rId9" w:tooltip="View LawCiteRecord" w:history="1">
        <w:r>
          <w:rPr>
            <w:rStyle w:val="Hyperlink"/>
            <w:rFonts w:ascii="Arial" w:hAnsi="Arial" w:cs="Arial"/>
          </w:rPr>
          <w:t>[1962] VR 274.</w:t>
        </w:r>
      </w:hyperlink>
      <w:r>
        <w:rPr>
          <w:rFonts w:ascii="Arial" w:hAnsi="Arial" w:cs="Arial"/>
        </w:rPr>
        <w:t xml:space="preserve"> Unfortunately for the applicant, however, the effect of this case was overruled by the Transfer of Land (Restrictive Covenants) Act 1964, which came into force on 5 May 1964. With complete propriety </w:t>
      </w:r>
      <w:proofErr w:type="spellStart"/>
      <w:r>
        <w:rPr>
          <w:rFonts w:ascii="Arial" w:hAnsi="Arial" w:cs="Arial"/>
        </w:rPr>
        <w:t>Mr.</w:t>
      </w:r>
      <w:proofErr w:type="spellEnd"/>
      <w:r>
        <w:rPr>
          <w:rFonts w:ascii="Arial" w:hAnsi="Arial" w:cs="Arial"/>
        </w:rPr>
        <w:t xml:space="preserve"> Kendall for the applicant drew my attention to this recent statutory amendment whereby a new s79A was added to the </w:t>
      </w:r>
      <w:hyperlink r:id="rId10" w:history="1">
        <w:r>
          <w:rPr>
            <w:rStyle w:val="Hyperlink"/>
            <w:rFonts w:ascii="Arial" w:hAnsi="Arial" w:cs="Arial"/>
          </w:rPr>
          <w:t>Property Law Act 1958</w:t>
        </w:r>
      </w:hyperlink>
      <w:r>
        <w:rPr>
          <w:rFonts w:ascii="Arial" w:hAnsi="Arial" w:cs="Arial"/>
        </w:rPr>
        <w:t xml:space="preserve">. This new section reads as follows: "It is hereby declared that when the benefit of a restriction as to the user of or the building on any land is or has been annexed or purports to be annexed by any instrument to other land the benefit shall unless it is expressly provided to the contrary be deemed to be and always to have been annexed to the whole and to each and every part of such other land capable of benefiting from such restriction." In consequence of this new statutory provision it would now appear that the great majority of the lots on the plan of subdivision, excepting with a certainty lots 83, 44 and 84, would have been entitled to the benefit of the restrictive covenant imposed on lot 85. Having regard to the hopelessness of the application based on paragraph (a) of </w:t>
      </w:r>
      <w:hyperlink r:id="rId11" w:history="1">
        <w:r>
          <w:rPr>
            <w:rStyle w:val="Hyperlink"/>
            <w:rFonts w:ascii="Arial" w:hAnsi="Arial" w:cs="Arial"/>
          </w:rPr>
          <w:t>s84(1)</w:t>
        </w:r>
      </w:hyperlink>
      <w:r>
        <w:rPr>
          <w:rFonts w:ascii="Arial" w:hAnsi="Arial" w:cs="Arial"/>
        </w:rPr>
        <w:t xml:space="preserve">, the application was adjourned and at the adjourned date the applicant sought to rely upon the provisions of paragraph (c) of </w:t>
      </w:r>
      <w:hyperlink r:id="rId12" w:history="1">
        <w:r>
          <w:rPr>
            <w:rStyle w:val="Hyperlink"/>
            <w:rFonts w:ascii="Arial" w:hAnsi="Arial" w:cs="Arial"/>
          </w:rPr>
          <w:t>s84(1)</w:t>
        </w:r>
      </w:hyperlink>
      <w:r>
        <w:rPr>
          <w:rFonts w:ascii="Arial" w:hAnsi="Arial" w:cs="Arial"/>
        </w:rPr>
        <w:t xml:space="preserve"> to found his application. To succeed under this paragraph the applicant must establish that the modification, if made, would not substantially injure the persons entitled to the benefit of the restriction. </w:t>
      </w:r>
    </w:p>
    <w:p w:rsidR="00172639" w:rsidRDefault="00172639" w:rsidP="00172639">
      <w:pPr>
        <w:pStyle w:val="NormalWeb"/>
        <w:rPr>
          <w:rFonts w:ascii="Arial" w:hAnsi="Arial" w:cs="Arial"/>
        </w:rPr>
      </w:pPr>
      <w:r>
        <w:rPr>
          <w:rFonts w:ascii="Arial" w:hAnsi="Arial" w:cs="Arial"/>
        </w:rPr>
        <w:lastRenderedPageBreak/>
        <w:t xml:space="preserve">To sustain this burden affidavits were obtained by the applicant from the persons who had the proprietary interest in lots 44, 45, 84, 86 and 87, which are in the immediate vicinity of lot 85. In effect, the various deponents stated that they were familiar with the lots in the plan of subdivision and, to the best of their knowledge, information and belief, the granting of the modification sought by the applicant would cause no damage to any of the said lots, nor indeed cause their value to depreciate. With the exception of the owner of lot 84, who, if I understand the chronology of the disposal of the lots on the subdivision, would not have been entitled to the benefit of the covenant, each deponent also swore that his or her own particular lot would not be injured by the restrictive covenant being modified nor its value depreciated. The applicant also obtained and filed an affidavit from an estate agent who knew the area well. He stated his belief that, if the restrictive covenant were modified, neither the value of the lots which have the benefit of the covenant would be depreciated nor would the modification substantially injure the persons entitled to the benefit thereof. The deponent, however, did not give any grounds for his belief other than his expressed familiarity with the area. </w:t>
      </w:r>
    </w:p>
    <w:p w:rsidR="00E41633" w:rsidRDefault="00E41633" w:rsidP="00172639">
      <w:pPr>
        <w:pStyle w:val="NormalWeb"/>
        <w:rPr>
          <w:rFonts w:ascii="Arial" w:hAnsi="Arial" w:cs="Arial"/>
        </w:rPr>
      </w:pPr>
      <w:r>
        <w:rPr>
          <w:rFonts w:ascii="Arial" w:hAnsi="Arial" w:cs="Arial"/>
        </w:rPr>
        <w:t>[8</w:t>
      </w:r>
      <w:r>
        <w:rPr>
          <w:rFonts w:ascii="Arial" w:hAnsi="Arial" w:cs="Arial"/>
        </w:rPr>
        <w:t>10</w:t>
      </w:r>
      <w:r>
        <w:rPr>
          <w:rFonts w:ascii="Arial" w:hAnsi="Arial" w:cs="Arial"/>
        </w:rPr>
        <w:t>]</w:t>
      </w:r>
    </w:p>
    <w:p w:rsidR="00E41633" w:rsidRDefault="00172639" w:rsidP="00172639">
      <w:pPr>
        <w:pStyle w:val="NormalWeb"/>
        <w:rPr>
          <w:rFonts w:ascii="Arial" w:hAnsi="Arial" w:cs="Arial"/>
        </w:rPr>
      </w:pPr>
      <w:r>
        <w:rPr>
          <w:rFonts w:ascii="Arial" w:hAnsi="Arial" w:cs="Arial"/>
        </w:rPr>
        <w:t xml:space="preserve">Despite what Long Innes, CJ in </w:t>
      </w:r>
      <w:proofErr w:type="spellStart"/>
      <w:r>
        <w:rPr>
          <w:rFonts w:ascii="Arial" w:hAnsi="Arial" w:cs="Arial"/>
        </w:rPr>
        <w:t>Eq</w:t>
      </w:r>
      <w:proofErr w:type="spellEnd"/>
      <w:r>
        <w:rPr>
          <w:rFonts w:ascii="Arial" w:hAnsi="Arial" w:cs="Arial"/>
        </w:rPr>
        <w:t xml:space="preserve">, said in Re Rose Bay Bowling and Recreation Club Ltd </w:t>
      </w:r>
      <w:hyperlink r:id="rId13" w:tooltip="View LawCiteRecord" w:history="1">
        <w:r>
          <w:rPr>
            <w:rStyle w:val="Hyperlink"/>
            <w:rFonts w:ascii="Arial" w:hAnsi="Arial" w:cs="Arial"/>
          </w:rPr>
          <w:t>(1935) 52 WN (NSW) 77</w:t>
        </w:r>
      </w:hyperlink>
      <w:r>
        <w:rPr>
          <w:rFonts w:ascii="Arial" w:hAnsi="Arial" w:cs="Arial"/>
        </w:rPr>
        <w:t xml:space="preserve">, at p. 78, I am of opinion that the Court has a discretion to grant or refuse the application, even though the grounds may be proved by the applicant: see Driscoll v Church Commissioners for England, </w:t>
      </w:r>
      <w:hyperlink r:id="rId14" w:tooltip="View LawCiteRecord" w:history="1">
        <w:r>
          <w:rPr>
            <w:rStyle w:val="Hyperlink"/>
            <w:rFonts w:ascii="Arial" w:hAnsi="Arial" w:cs="Arial"/>
          </w:rPr>
          <w:t>[1957] 1 QB 330</w:t>
        </w:r>
      </w:hyperlink>
      <w:r>
        <w:rPr>
          <w:rFonts w:ascii="Arial" w:hAnsi="Arial" w:cs="Arial"/>
        </w:rPr>
        <w:t xml:space="preserve">; </w:t>
      </w:r>
      <w:hyperlink r:id="rId15" w:tooltip="View LawCiteRecord" w:history="1">
        <w:r>
          <w:rPr>
            <w:rStyle w:val="Hyperlink"/>
            <w:rFonts w:ascii="Arial" w:hAnsi="Arial" w:cs="Arial"/>
          </w:rPr>
          <w:t>[1956] 3 All ER 802</w:t>
        </w:r>
      </w:hyperlink>
      <w:r>
        <w:rPr>
          <w:rFonts w:ascii="Arial" w:hAnsi="Arial" w:cs="Arial"/>
        </w:rPr>
        <w:t xml:space="preserve">, and Re </w:t>
      </w:r>
      <w:proofErr w:type="spellStart"/>
      <w:r>
        <w:rPr>
          <w:rFonts w:ascii="Arial" w:hAnsi="Arial" w:cs="Arial"/>
        </w:rPr>
        <w:t>Ghey</w:t>
      </w:r>
      <w:proofErr w:type="spellEnd"/>
      <w:r>
        <w:rPr>
          <w:rFonts w:ascii="Arial" w:hAnsi="Arial" w:cs="Arial"/>
        </w:rPr>
        <w:t xml:space="preserve"> and Galton's Application, </w:t>
      </w:r>
      <w:hyperlink r:id="rId16" w:tooltip="View LawCiteRecord" w:history="1">
        <w:r>
          <w:rPr>
            <w:rStyle w:val="Hyperlink"/>
            <w:rFonts w:ascii="Arial" w:hAnsi="Arial" w:cs="Arial"/>
          </w:rPr>
          <w:t>[1957] 2 QB 650</w:t>
        </w:r>
      </w:hyperlink>
      <w:r>
        <w:rPr>
          <w:rFonts w:ascii="Arial" w:hAnsi="Arial" w:cs="Arial"/>
        </w:rPr>
        <w:t xml:space="preserve">, at p. 660; </w:t>
      </w:r>
      <w:hyperlink r:id="rId17" w:tooltip="View LawCiteRecord" w:history="1">
        <w:r>
          <w:rPr>
            <w:rStyle w:val="Hyperlink"/>
            <w:rFonts w:ascii="Arial" w:hAnsi="Arial" w:cs="Arial"/>
          </w:rPr>
          <w:t>[1957] 3 All ER 164.</w:t>
        </w:r>
      </w:hyperlink>
      <w:r>
        <w:rPr>
          <w:rFonts w:ascii="Arial" w:hAnsi="Arial" w:cs="Arial"/>
        </w:rPr>
        <w:t xml:space="preserve"> In the last-mentioned case the Court of Appeal has approved of the approach made by Farwell, J, in an application under paragraph (a) of the section [s84(1) of the Law of Property Act 1925] in Re Henderson's Conveyance, </w:t>
      </w:r>
      <w:hyperlink r:id="rId18" w:tooltip="View LawCiteRecord" w:history="1">
        <w:r>
          <w:rPr>
            <w:rStyle w:val="Hyperlink"/>
            <w:rFonts w:ascii="Arial" w:hAnsi="Arial" w:cs="Arial"/>
          </w:rPr>
          <w:t xml:space="preserve">[1940] 1 </w:t>
        </w:r>
        <w:proofErr w:type="spellStart"/>
        <w:r>
          <w:rPr>
            <w:rStyle w:val="Hyperlink"/>
            <w:rFonts w:ascii="Arial" w:hAnsi="Arial" w:cs="Arial"/>
          </w:rPr>
          <w:t>Ch</w:t>
        </w:r>
        <w:proofErr w:type="spellEnd"/>
        <w:r>
          <w:rPr>
            <w:rStyle w:val="Hyperlink"/>
            <w:rFonts w:ascii="Arial" w:hAnsi="Arial" w:cs="Arial"/>
          </w:rPr>
          <w:t xml:space="preserve"> 835</w:t>
        </w:r>
      </w:hyperlink>
      <w:r>
        <w:rPr>
          <w:rFonts w:ascii="Arial" w:hAnsi="Arial" w:cs="Arial"/>
        </w:rPr>
        <w:t xml:space="preserve">, at p. 846; </w:t>
      </w:r>
      <w:hyperlink r:id="rId19" w:tooltip="View LawCiteRecord" w:history="1">
        <w:r>
          <w:rPr>
            <w:rStyle w:val="Hyperlink"/>
            <w:rFonts w:ascii="Arial" w:hAnsi="Arial" w:cs="Arial"/>
          </w:rPr>
          <w:t>[1940] 4 All ER 1.</w:t>
        </w:r>
      </w:hyperlink>
      <w:r>
        <w:rPr>
          <w:rFonts w:ascii="Arial" w:hAnsi="Arial" w:cs="Arial"/>
        </w:rPr>
        <w:t xml:space="preserve"> The Court of Appeal further indicated that, although these remarks were made with respect to paragraph (a), they afforded a useful prelude to any application made under s84(1). Farwell, J, said: "Speaking for myself, I do not view this section of the Act as designed to enable a person to expropriate the private rights of another purely for his own profit. I am not suggesting that there may not be cases where it would be right to remove or modify a restriction against the will of the person who has the benefit of that restriction, either with or without compensation, in a case where it seems necessary to do so because it prevents in some way the proper development of the neighbouring property or for some such reason of that kind; but in my judgment this section of the Act was not designed, at any rate prima facie, to enable one owner to get a benefit by being freed from the restrictions imposed upon his property in favour of a neighbouring owner, merely because, in the view of the person who desires the restriction to go it would make his property more enjoyable or more convenient for his own private purposes. I do not think the section was designed with a view to benefiting one private individual at the expense of another private individual. At any rate, primarily, that was not in my judgment, the object of this section. If a case is to be made out under this section, there must be some proper evidence that the restriction is no longer necessary for any reasonable purpose of the person who is enjoying the benefit of it, or that by reason of a change in the character of the property or the neighbourhood, the restriction is one which is no longer to be enforceable or has become of no value." These words were uttered in relation to paragraph (a), but they indicate the kind of burden that is imposed upon an applicant </w:t>
      </w:r>
      <w:r>
        <w:rPr>
          <w:rFonts w:ascii="Arial" w:hAnsi="Arial" w:cs="Arial"/>
        </w:rPr>
        <w:lastRenderedPageBreak/>
        <w:t xml:space="preserve">who should be making an application under any of the paragraphs of s84(1). It seems to me that in order to succeed under paragraph (c) the applicant cannot establish his case by merely proving that there will be no appreciable injury or depreciation in value of the property to which the covenant is annexed: see Re </w:t>
      </w:r>
      <w:proofErr w:type="spellStart"/>
      <w:r>
        <w:rPr>
          <w:rFonts w:ascii="Arial" w:hAnsi="Arial" w:cs="Arial"/>
        </w:rPr>
        <w:t>Parimax</w:t>
      </w:r>
      <w:proofErr w:type="spellEnd"/>
      <w:r>
        <w:rPr>
          <w:rFonts w:ascii="Arial" w:hAnsi="Arial" w:cs="Arial"/>
        </w:rPr>
        <w:t xml:space="preserve"> (SA) Pty Ltd, </w:t>
      </w:r>
      <w:hyperlink r:id="rId20" w:tooltip="View LawCiteRecord" w:history="1">
        <w:r>
          <w:rPr>
            <w:rStyle w:val="Hyperlink"/>
            <w:rFonts w:ascii="Arial" w:hAnsi="Arial" w:cs="Arial"/>
          </w:rPr>
          <w:t>[1956] SR (NSW) 130.</w:t>
        </w:r>
      </w:hyperlink>
      <w:r>
        <w:rPr>
          <w:rFonts w:ascii="Arial" w:hAnsi="Arial" w:cs="Arial"/>
        </w:rPr>
        <w:t xml:space="preserve"> If it were proved by evidence that the purpose of the covenant was not to preserve the value of the property, proof of value may even become irrelevant: see Heaton v </w:t>
      </w:r>
      <w:proofErr w:type="spellStart"/>
      <w:r>
        <w:rPr>
          <w:rFonts w:ascii="Arial" w:hAnsi="Arial" w:cs="Arial"/>
        </w:rPr>
        <w:t>Loblay</w:t>
      </w:r>
      <w:proofErr w:type="spellEnd"/>
      <w:r>
        <w:rPr>
          <w:rFonts w:ascii="Arial" w:hAnsi="Arial" w:cs="Arial"/>
        </w:rPr>
        <w:t xml:space="preserve"> </w:t>
      </w:r>
      <w:hyperlink r:id="rId21" w:tooltip="View LawCiteRecord" w:history="1">
        <w:r>
          <w:rPr>
            <w:rStyle w:val="Hyperlink"/>
            <w:rFonts w:ascii="Arial" w:hAnsi="Arial" w:cs="Arial"/>
          </w:rPr>
          <w:t>(1960) 77 WN (NSW) 140</w:t>
        </w:r>
      </w:hyperlink>
      <w:r>
        <w:rPr>
          <w:rFonts w:ascii="Arial" w:hAnsi="Arial" w:cs="Arial"/>
        </w:rPr>
        <w:t xml:space="preserve">, at p. 142. It should be noted that in paragraph (c) the emphasis is on the injury suffered by the persons entitled to the benefit. From the nature of the proprietary right arising from the restrictive covenant clearly the injury must occur in relation to the person's enjoyment of his property. Such injury can only be properly assessed by a comparison between the benefits intended to be conferred and actually conferred by the covenant initially on the persons entitled thereto and the resultant benefits, if any, remaining to such persons after the covenant has been modified. If from the evidence it appears that the difference between the two will not be substantial, then the applicant will have established a </w:t>
      </w:r>
    </w:p>
    <w:p w:rsidR="00E41633" w:rsidRDefault="00E41633" w:rsidP="00172639">
      <w:pPr>
        <w:pStyle w:val="NormalWeb"/>
        <w:rPr>
          <w:rFonts w:ascii="Arial" w:hAnsi="Arial" w:cs="Arial"/>
        </w:rPr>
      </w:pPr>
      <w:bookmarkStart w:id="0" w:name="_GoBack"/>
      <w:bookmarkEnd w:id="0"/>
      <w:r>
        <w:rPr>
          <w:rFonts w:ascii="Arial" w:hAnsi="Arial" w:cs="Arial"/>
        </w:rPr>
        <w:t>[811]</w:t>
      </w:r>
    </w:p>
    <w:p w:rsidR="00172639" w:rsidRDefault="00172639" w:rsidP="00172639">
      <w:pPr>
        <w:pStyle w:val="NormalWeb"/>
        <w:rPr>
          <w:rFonts w:ascii="Arial" w:hAnsi="Arial" w:cs="Arial"/>
        </w:rPr>
      </w:pPr>
      <w:r>
        <w:rPr>
          <w:rFonts w:ascii="Arial" w:hAnsi="Arial" w:cs="Arial"/>
        </w:rPr>
        <w:t xml:space="preserve">case for the exercise of the Court's discretion under paragraph (c). In order to make this comparison it is proposed to consider what benefits the covenant over the subject land may have conferred upon the persons entitled thereto, and then to assess whether the modification of such covenant would or would not substantially diminish the benefits so discovered. </w:t>
      </w:r>
    </w:p>
    <w:p w:rsidR="00E41633" w:rsidRDefault="00172639" w:rsidP="00172639">
      <w:pPr>
        <w:pStyle w:val="NormalWeb"/>
        <w:rPr>
          <w:rFonts w:ascii="Arial" w:hAnsi="Arial" w:cs="Arial"/>
        </w:rPr>
      </w:pPr>
      <w:r>
        <w:rPr>
          <w:rFonts w:ascii="Arial" w:hAnsi="Arial" w:cs="Arial"/>
        </w:rPr>
        <w:t xml:space="preserve">In order to assess the benefits to be derived from the restrictive covenant to the persons entitled thereto, I believe it is first necessary to consider the outstanding features of the subdivision. The lodged plan shows that it was a subdivision of two existing lots 11 and 12 on LP 4151. Although these lots were practically rectangular, running true north of Belmore Road, the subdivision No. 8431 of the two lots is not a plain grid. The private streets thereon are broken and do not run due north, south, east or west, but are in various directions. The consequence is that the lots are orientated in all directions of the compass and the streets also run in various directions. The plan does not show the contours of the land, but from the direction of the drainage reserve and the various drainage easements the land apparently falls from south of east to north of west. This may influence the direction and course of the private streets and the aspect of the allotments fronting those streets. The consequences, however, of the subdivision are: first, that there is a very little sameness in the dimensions, regularity or orientation of the allotments; secondly, there are dotted throughout the subdivision comparatively large allotments. These generally are to be found at street corners and abutting on the main drainage reserves where rectangular allotments could not be easily surveyed, and the areas remaining from the subdivision were set aside as large allotments in convenient positions. There is no standard allotment, but actually there are no small allotments. In so far as any standard may have been established, the allotment appears to be approximately 60 feet by 160 feet. Lot 84 has a broken frontage of 124 feet 11 inches to Loma Linda Grove. It only has 49 feet 8 inches at the rear. It is not rectangular but is one of those allotments abutting the main drainage reserve, which runs slightly south of east to slightly north of west right across the subdivision at a width of approximately 22 feet. It seems to me that the object of the subdivider in </w:t>
      </w:r>
      <w:r>
        <w:rPr>
          <w:rFonts w:ascii="Arial" w:hAnsi="Arial" w:cs="Arial"/>
        </w:rPr>
        <w:lastRenderedPageBreak/>
        <w:t xml:space="preserve">creating such large allotments must have been to reduce, if not overcome, the monotony of a symmetrical and even subdivision on a grid plan and to provide at various strategic points in the subdivision much larger allotments, to provide area and space to the smaller allotments in the subdivision, thereby giving the whole area grace and an air of expansiveness, thereby making it an attractive residential setting. The covenant imposed on lot 85 restricting the use of such large allotment to one residence would assist in effectuating such benefits. The object of the restriction, therefore, seems to be that one private dwelling should be placed on a large block of land to ensure large air space being available to the smaller allotments on the subdivision, or, alternatively, if such air space were reduced, it must be by the building of a very large dwelling-house of a prestige kind. Now if these features were the objects of the subdivision and of the restrictive covenant, they may be completely lost by the further subdivision of lot 85. If my analysis of the objects of the subdivision and the imposition of the covenant were wrong, then in any event it would appear that the applicant is merely seeking to do that which the subdivider could have done at the time of his subdivision. The object or purpose of having such a large allotment, without directing attention to whatever may have been originally the </w:t>
      </w:r>
    </w:p>
    <w:p w:rsidR="00E41633" w:rsidRDefault="00E41633" w:rsidP="00172639">
      <w:pPr>
        <w:pStyle w:val="NormalWeb"/>
        <w:rPr>
          <w:rFonts w:ascii="Arial" w:hAnsi="Arial" w:cs="Arial"/>
        </w:rPr>
      </w:pPr>
      <w:r>
        <w:rPr>
          <w:rFonts w:ascii="Arial" w:hAnsi="Arial" w:cs="Arial"/>
        </w:rPr>
        <w:t>[812]</w:t>
      </w:r>
    </w:p>
    <w:p w:rsidR="00172639" w:rsidRDefault="00172639" w:rsidP="00172639">
      <w:pPr>
        <w:pStyle w:val="NormalWeb"/>
        <w:rPr>
          <w:rFonts w:ascii="Arial" w:hAnsi="Arial" w:cs="Arial"/>
        </w:rPr>
      </w:pPr>
      <w:r>
        <w:rPr>
          <w:rFonts w:ascii="Arial" w:hAnsi="Arial" w:cs="Arial"/>
        </w:rPr>
        <w:t xml:space="preserve">desires of the subdivider, will be defeated if the applicant is permitted to divide it into two lots, thereby having two houses upon it. It is obvious the only party to benefit from such modification will be the applicant who, when he required lot 85, must have known of the restrictive covenant. If he obtains the modification, he in effect completely expropriates whatever benefits arose from creation of the large allotments at selected points in the subdivision. The expansive character of the neighbourhood so created by the subdivider must be defeated by the modification. If the various larger allotments are subdivided then it must follow that there will be a greater density of residences, thereby defeating the purposes of the restriction annexed to the large allotment. </w:t>
      </w:r>
    </w:p>
    <w:p w:rsidR="00172639" w:rsidRDefault="00172639" w:rsidP="00172639">
      <w:pPr>
        <w:pStyle w:val="NormalWeb"/>
        <w:rPr>
          <w:rFonts w:ascii="Arial" w:hAnsi="Arial" w:cs="Arial"/>
        </w:rPr>
      </w:pPr>
      <w:proofErr w:type="spellStart"/>
      <w:r>
        <w:rPr>
          <w:rFonts w:ascii="Arial" w:hAnsi="Arial" w:cs="Arial"/>
        </w:rPr>
        <w:t>Mr.</w:t>
      </w:r>
      <w:proofErr w:type="spellEnd"/>
      <w:r>
        <w:rPr>
          <w:rFonts w:ascii="Arial" w:hAnsi="Arial" w:cs="Arial"/>
        </w:rPr>
        <w:t xml:space="preserve"> Kendall, however, has argued that there has been no objection by any person entitled to benefit of the covenant and the Court should not be astute to protect private rights where the persons entitled thereto themselves show no inclination to protect them. Although there are references in various judgments to this argument which support </w:t>
      </w:r>
      <w:proofErr w:type="spellStart"/>
      <w:r>
        <w:rPr>
          <w:rFonts w:ascii="Arial" w:hAnsi="Arial" w:cs="Arial"/>
        </w:rPr>
        <w:t>Mr.</w:t>
      </w:r>
      <w:proofErr w:type="spellEnd"/>
      <w:r>
        <w:rPr>
          <w:rFonts w:ascii="Arial" w:hAnsi="Arial" w:cs="Arial"/>
        </w:rPr>
        <w:t xml:space="preserve"> Kendall's submission, it, however, cannot be too much relied upon. It is notorious that people generally are loath to come to court unless there should be some patent physical damage to their property or person. Secondly, one cannot be persuaded that in this case all the persons entitled to the benefit have had notice of this application. Thirdly, the onus is on the applicant to establish the reasons for the exercise of the discretion, and the absence of objectors cannot supply any deficiencies in his proof. The application must be dealt with on the material put before the Court. The absence of objectors, in my opinion, affords very little evidence in favour of the application. </w:t>
      </w:r>
      <w:proofErr w:type="spellStart"/>
      <w:r>
        <w:rPr>
          <w:rFonts w:ascii="Arial" w:hAnsi="Arial" w:cs="Arial"/>
        </w:rPr>
        <w:t>Mr.</w:t>
      </w:r>
      <w:proofErr w:type="spellEnd"/>
      <w:r>
        <w:rPr>
          <w:rFonts w:ascii="Arial" w:hAnsi="Arial" w:cs="Arial"/>
        </w:rPr>
        <w:t xml:space="preserve"> Kendall also submitted that what the applicant intends to do is something quite consistent with the character of the neighbourhood. By the new subdivision the applicant merely provides two blocks of approximately the same dimensions as the dimensions of those to which they are adjacent and equal to the standard lots. Whilst this is very true, it seems that what the applicant is seeking to do is to defeat the benefit to the present standard </w:t>
      </w:r>
      <w:r>
        <w:rPr>
          <w:rFonts w:ascii="Arial" w:hAnsi="Arial" w:cs="Arial"/>
        </w:rPr>
        <w:lastRenderedPageBreak/>
        <w:t xml:space="preserve">allotments of the spaciousness which generally is prized as a characteristic of gracious and highly prized residential areas and to increase the number of allotments at the cost of such spaciousness arising from the absence of such allotments: cf. per Harman, J, in Bell v Norman C Ashton Ltd. (Newsom, Discharge and Modification of Restrictive Covenants (1957)), at p. 369. </w:t>
      </w:r>
      <w:proofErr w:type="spellStart"/>
      <w:r>
        <w:rPr>
          <w:rFonts w:ascii="Arial" w:hAnsi="Arial" w:cs="Arial"/>
        </w:rPr>
        <w:t>Mr.</w:t>
      </w:r>
      <w:proofErr w:type="spellEnd"/>
      <w:r>
        <w:rPr>
          <w:rFonts w:ascii="Arial" w:hAnsi="Arial" w:cs="Arial"/>
        </w:rPr>
        <w:t xml:space="preserve"> Kendall also submitted that the local council has permitted a further subdivision of lot 85. Whilst this is true, the provisions of the Local Government Act 1958 would probably give the council very little if any authority to prevent the subdivision. The recent cases of </w:t>
      </w:r>
      <w:proofErr w:type="spellStart"/>
      <w:r>
        <w:rPr>
          <w:rFonts w:ascii="Arial" w:hAnsi="Arial" w:cs="Arial"/>
        </w:rPr>
        <w:t>Webbs</w:t>
      </w:r>
      <w:proofErr w:type="spellEnd"/>
      <w:r>
        <w:rPr>
          <w:rFonts w:ascii="Arial" w:hAnsi="Arial" w:cs="Arial"/>
        </w:rPr>
        <w:t xml:space="preserve"> Development Pty Ltd v Sandringham, </w:t>
      </w:r>
      <w:hyperlink r:id="rId22" w:tooltip="View Case" w:history="1">
        <w:r>
          <w:rPr>
            <w:rStyle w:val="Hyperlink"/>
            <w:rFonts w:ascii="Arial" w:hAnsi="Arial" w:cs="Arial"/>
          </w:rPr>
          <w:t xml:space="preserve">[1962] </w:t>
        </w:r>
        <w:proofErr w:type="spellStart"/>
        <w:r>
          <w:rPr>
            <w:rStyle w:val="Hyperlink"/>
            <w:rFonts w:ascii="Arial" w:hAnsi="Arial" w:cs="Arial"/>
          </w:rPr>
          <w:t>VicRp</w:t>
        </w:r>
        <w:proofErr w:type="spellEnd"/>
        <w:r>
          <w:rPr>
            <w:rStyle w:val="Hyperlink"/>
            <w:rFonts w:ascii="Arial" w:hAnsi="Arial" w:cs="Arial"/>
          </w:rPr>
          <w:t xml:space="preserve"> 8</w:t>
        </w:r>
      </w:hyperlink>
      <w:r>
        <w:rPr>
          <w:rFonts w:ascii="Arial" w:hAnsi="Arial" w:cs="Arial"/>
        </w:rPr>
        <w:t xml:space="preserve">; </w:t>
      </w:r>
      <w:hyperlink r:id="rId23" w:tooltip="View LawCiteRecord" w:history="1">
        <w:r>
          <w:rPr>
            <w:rStyle w:val="Hyperlink"/>
            <w:rFonts w:ascii="Arial" w:hAnsi="Arial" w:cs="Arial"/>
          </w:rPr>
          <w:t>[1962] VR 63</w:t>
        </w:r>
      </w:hyperlink>
      <w:r>
        <w:rPr>
          <w:rFonts w:ascii="Arial" w:hAnsi="Arial" w:cs="Arial"/>
        </w:rPr>
        <w:t xml:space="preserve">, and Stewart v Oakleigh, </w:t>
      </w:r>
      <w:hyperlink r:id="rId24" w:tooltip="View Case" w:history="1">
        <w:r>
          <w:rPr>
            <w:rStyle w:val="Hyperlink"/>
            <w:rFonts w:ascii="Arial" w:hAnsi="Arial" w:cs="Arial"/>
          </w:rPr>
          <w:t xml:space="preserve">[1962] </w:t>
        </w:r>
        <w:proofErr w:type="spellStart"/>
        <w:r>
          <w:rPr>
            <w:rStyle w:val="Hyperlink"/>
            <w:rFonts w:ascii="Arial" w:hAnsi="Arial" w:cs="Arial"/>
          </w:rPr>
          <w:t>VicRp</w:t>
        </w:r>
        <w:proofErr w:type="spellEnd"/>
        <w:r>
          <w:rPr>
            <w:rStyle w:val="Hyperlink"/>
            <w:rFonts w:ascii="Arial" w:hAnsi="Arial" w:cs="Arial"/>
          </w:rPr>
          <w:t xml:space="preserve"> 40</w:t>
        </w:r>
      </w:hyperlink>
      <w:r>
        <w:rPr>
          <w:rFonts w:ascii="Arial" w:hAnsi="Arial" w:cs="Arial"/>
        </w:rPr>
        <w:t xml:space="preserve">; </w:t>
      </w:r>
      <w:hyperlink r:id="rId25" w:tooltip="View LawCiteRecord" w:history="1">
        <w:r>
          <w:rPr>
            <w:rStyle w:val="Hyperlink"/>
            <w:rFonts w:ascii="Arial" w:hAnsi="Arial" w:cs="Arial"/>
          </w:rPr>
          <w:t>[1962] VR 268</w:t>
        </w:r>
      </w:hyperlink>
      <w:r>
        <w:rPr>
          <w:rFonts w:ascii="Arial" w:hAnsi="Arial" w:cs="Arial"/>
        </w:rPr>
        <w:t xml:space="preserve">, illustrate the difficulties which councils strike in preventing a subdivision of land which otherwise is in accordance with the provisions of the Local Government Act. Little assistance can in my view be derived from the fact that the council has approved of the plan, since the powers to refuse to seal the plan are so limited in scope. </w:t>
      </w:r>
    </w:p>
    <w:p w:rsidR="00E41633" w:rsidRDefault="00172639" w:rsidP="00172639">
      <w:pPr>
        <w:pStyle w:val="NormalWeb"/>
        <w:rPr>
          <w:rFonts w:ascii="Arial" w:hAnsi="Arial" w:cs="Arial"/>
        </w:rPr>
      </w:pPr>
      <w:r>
        <w:rPr>
          <w:rFonts w:ascii="Arial" w:hAnsi="Arial" w:cs="Arial"/>
        </w:rPr>
        <w:t xml:space="preserve">Now, as has already been indicated, there is evidence before the Court from a number of lot holders that, by the modification of the covenant as suggested by the applicant, no substantial injury will be done to the persons entitled to the benefit of the covenant. Whilst I can rightly appreciate the great difficulties in the way of the applicant to lead </w:t>
      </w:r>
    </w:p>
    <w:p w:rsidR="00E41633" w:rsidRDefault="00E41633" w:rsidP="00172639">
      <w:pPr>
        <w:pStyle w:val="NormalWeb"/>
        <w:rPr>
          <w:rFonts w:ascii="Arial" w:hAnsi="Arial" w:cs="Arial"/>
        </w:rPr>
      </w:pPr>
      <w:r>
        <w:rPr>
          <w:rFonts w:ascii="Arial" w:hAnsi="Arial" w:cs="Arial"/>
        </w:rPr>
        <w:t>[813]</w:t>
      </w:r>
    </w:p>
    <w:p w:rsidR="00172639" w:rsidRDefault="00172639" w:rsidP="00172639">
      <w:pPr>
        <w:pStyle w:val="NormalWeb"/>
        <w:rPr>
          <w:rFonts w:ascii="Arial" w:hAnsi="Arial" w:cs="Arial"/>
        </w:rPr>
      </w:pPr>
      <w:r>
        <w:rPr>
          <w:rFonts w:ascii="Arial" w:hAnsi="Arial" w:cs="Arial"/>
        </w:rPr>
        <w:t xml:space="preserve">evidence in order to prove a negative, which can only arise hypothetically in the future after the modification has been granted, I do not believe the Court can derive much, if any, assistance from a bald statement which in essence is a statement of opinion from each of a number of persons, none of whom is skilled or trained in any way to give such opinion. On the other hand, as I have already noted, I have a statement to the same effect from an estate agent who is and was for many years familiar with the neighbourhood. Unfortunately he does not elaborate any benefits, if any, which the covenant confers and the effect of the modification thereon. One cannot assess from his evidence the reasons, if any, for his statement of belief or opinion, which is simply repeated in his affidavit in a blunt fashion in the precise words of s84(1)(c) itself. I would not be prepared to act on such statement alone, and I cannot say that I am satisfied I should exercise the discretion in the applicant's favour upon such evidence. I, therefore, have come to the conclusion that the applicant has not sustained the onus of establishing that the suggested modification will not substantially injure the persons entitled to the benefit of the restriction. Furthermore, I am not persuaded on the evidence before me that, if the onus of proving the ground had been sustained, any valid reason has been advanced to the Court to show why it should exercise its discretion in the applicant's favour. Accordingly, the application must be dismissed. </w:t>
      </w:r>
    </w:p>
    <w:p w:rsidR="00172639" w:rsidRDefault="00172639" w:rsidP="00172639">
      <w:pPr>
        <w:pStyle w:val="NormalWeb"/>
        <w:rPr>
          <w:rFonts w:ascii="Arial" w:hAnsi="Arial" w:cs="Arial"/>
        </w:rPr>
      </w:pPr>
      <w:r>
        <w:rPr>
          <w:rFonts w:ascii="Arial" w:hAnsi="Arial" w:cs="Arial"/>
        </w:rPr>
        <w:t xml:space="preserve">Application dismissed. </w:t>
      </w:r>
    </w:p>
    <w:p w:rsidR="00172639" w:rsidRDefault="00172639" w:rsidP="00172639">
      <w:pPr>
        <w:pStyle w:val="NormalWeb"/>
        <w:rPr>
          <w:rFonts w:ascii="Arial" w:hAnsi="Arial" w:cs="Arial"/>
        </w:rPr>
      </w:pPr>
      <w:r>
        <w:rPr>
          <w:rFonts w:ascii="Arial" w:hAnsi="Arial" w:cs="Arial"/>
        </w:rPr>
        <w:t xml:space="preserve">Solicitors for the applicant: Walsh and </w:t>
      </w:r>
      <w:proofErr w:type="spellStart"/>
      <w:r>
        <w:rPr>
          <w:rFonts w:ascii="Arial" w:hAnsi="Arial" w:cs="Arial"/>
        </w:rPr>
        <w:t>Spriggs</w:t>
      </w:r>
      <w:proofErr w:type="spellEnd"/>
      <w:r>
        <w:rPr>
          <w:rFonts w:ascii="Arial" w:hAnsi="Arial" w:cs="Arial"/>
        </w:rPr>
        <w:t xml:space="preserve">. </w:t>
      </w:r>
    </w:p>
    <w:p w:rsidR="00C14AF4" w:rsidRDefault="00C14AF4"/>
    <w:sectPr w:rsidR="00C14AF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94717"/>
    <w:rsid w:val="00172639"/>
    <w:rsid w:val="00C14AF4"/>
    <w:rsid w:val="00C94717"/>
    <w:rsid w:val="00E4163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172639"/>
    <w:rPr>
      <w:color w:val="0044BB"/>
      <w:u w:val="single"/>
    </w:rPr>
  </w:style>
  <w:style w:type="paragraph" w:styleId="NormalWeb">
    <w:name w:val="Normal (Web)"/>
    <w:basedOn w:val="Normal"/>
    <w:uiPriority w:val="99"/>
    <w:semiHidden/>
    <w:unhideWhenUsed/>
    <w:rsid w:val="00172639"/>
    <w:pPr>
      <w:spacing w:before="100" w:beforeAutospacing="1" w:after="100" w:afterAutospacing="1" w:line="240" w:lineRule="auto"/>
    </w:pPr>
    <w:rPr>
      <w:rFonts w:ascii="Times New Roman" w:eastAsia="Times New Roman" w:hAnsi="Times New Roman" w:cs="Times New Roman"/>
      <w:color w:val="000000"/>
      <w:sz w:val="24"/>
      <w:szCs w:val="24"/>
      <w:lang w:eastAsia="en-A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172639"/>
    <w:rPr>
      <w:color w:val="0044BB"/>
      <w:u w:val="single"/>
    </w:rPr>
  </w:style>
  <w:style w:type="paragraph" w:styleId="NormalWeb">
    <w:name w:val="Normal (Web)"/>
    <w:basedOn w:val="Normal"/>
    <w:uiPriority w:val="99"/>
    <w:semiHidden/>
    <w:unhideWhenUsed/>
    <w:rsid w:val="00172639"/>
    <w:pPr>
      <w:spacing w:before="100" w:beforeAutospacing="1" w:after="100" w:afterAutospacing="1" w:line="240" w:lineRule="auto"/>
    </w:pPr>
    <w:rPr>
      <w:rFonts w:ascii="Times New Roman" w:eastAsia="Times New Roman" w:hAnsi="Times New Roman" w:cs="Times New Roman"/>
      <w:color w:val="000000"/>
      <w:sz w:val="24"/>
      <w:szCs w:val="24"/>
      <w:lang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9553222">
      <w:bodyDiv w:val="1"/>
      <w:marLeft w:val="360"/>
      <w:marRight w:val="360"/>
      <w:marTop w:val="360"/>
      <w:marBottom w:val="36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ustlii.edu.au/au/cases/vic/VicRp/1962/41.html" TargetMode="External"/><Relationship Id="rId13" Type="http://schemas.openxmlformats.org/officeDocument/2006/relationships/hyperlink" Target="http://www.austlii.edu.au/cgi-bin/LawCite?cit=%281935%29%2052%20WN%20%28NSW%29%2077?stem=0&amp;synonyms=0&amp;query=title(" TargetMode="External"/><Relationship Id="rId18" Type="http://schemas.openxmlformats.org/officeDocument/2006/relationships/hyperlink" Target="http://www.austlii.edu.au/cgi-bin/LawCite?cit=%5b1940%5d%201%20Ch%20835" TargetMode="Externa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http://www.austlii.edu.au/cgi-bin/LawCite?cit=%281960%29%2077%20WN%20%28NSW%29%20140" TargetMode="External"/><Relationship Id="rId7" Type="http://schemas.openxmlformats.org/officeDocument/2006/relationships/hyperlink" Target="http://www.austlii.edu.au/au/legis/vic/consol_act/pla1958179/s84.html" TargetMode="External"/><Relationship Id="rId12" Type="http://schemas.openxmlformats.org/officeDocument/2006/relationships/hyperlink" Target="http://www.austlii.edu.au/au/legis/vic/consol_act/pla1958179/s84.html" TargetMode="External"/><Relationship Id="rId17" Type="http://schemas.openxmlformats.org/officeDocument/2006/relationships/hyperlink" Target="http://www.austlii.edu.au/cgi-bin/LawCite?cit=%5b1957%5d%203%20All%20ER%20164?stem=0&amp;synonyms=0&amp;query=title(" TargetMode="External"/><Relationship Id="rId25" Type="http://schemas.openxmlformats.org/officeDocument/2006/relationships/hyperlink" Target="http://www.austlii.edu.au/cgi-bin/LawCite?cit=%5b1962%5d%20VR%20268" TargetMode="External"/><Relationship Id="rId2" Type="http://schemas.microsoft.com/office/2007/relationships/stylesWithEffects" Target="stylesWithEffects.xml"/><Relationship Id="rId16" Type="http://schemas.openxmlformats.org/officeDocument/2006/relationships/hyperlink" Target="http://www.austlii.edu.au/cgi-bin/LawCite?cit=%5b1957%5d%202%20QB%20650?stem=0&amp;synonyms=0&amp;query=title(" TargetMode="External"/><Relationship Id="rId20" Type="http://schemas.openxmlformats.org/officeDocument/2006/relationships/hyperlink" Target="http://www.austlii.edu.au/cgi-bin/LawCite?cit=%5b1956%5d%20SR%20%28NSW%29%20130?stem=0&amp;synonyms=0&amp;query=title(" TargetMode="External"/><Relationship Id="rId1" Type="http://schemas.openxmlformats.org/officeDocument/2006/relationships/styles" Target="styles.xml"/><Relationship Id="rId6" Type="http://schemas.openxmlformats.org/officeDocument/2006/relationships/hyperlink" Target="http://www.austlii.edu.au/au/legis/vic/consol_act/pla1958179/" TargetMode="External"/><Relationship Id="rId11" Type="http://schemas.openxmlformats.org/officeDocument/2006/relationships/hyperlink" Target="http://www.austlii.edu.au/au/legis/vic/consol_act/pla1958179/s84.html" TargetMode="External"/><Relationship Id="rId24" Type="http://schemas.openxmlformats.org/officeDocument/2006/relationships/hyperlink" Target="http://www.austlii.edu.au/au/cases/vic/VicRp/1962/40.html" TargetMode="External"/><Relationship Id="rId5" Type="http://schemas.openxmlformats.org/officeDocument/2006/relationships/hyperlink" Target="http://www.austlii.edu.au/au/legis/vic/consol_act/pla1958179/s84.html" TargetMode="External"/><Relationship Id="rId15" Type="http://schemas.openxmlformats.org/officeDocument/2006/relationships/hyperlink" Target="http://www.austlii.edu.au/cgi-bin/LawCite?cit=%5b1956%5d%203%20All%20ER%20802?stem=0&amp;synonyms=0&amp;query=title(" TargetMode="External"/><Relationship Id="rId23" Type="http://schemas.openxmlformats.org/officeDocument/2006/relationships/hyperlink" Target="http://www.austlii.edu.au/cgi-bin/LawCite?cit=%5b1962%5d%20VR%2063?stem=0&amp;synonyms=0&amp;query=title(" TargetMode="External"/><Relationship Id="rId10" Type="http://schemas.openxmlformats.org/officeDocument/2006/relationships/hyperlink" Target="http://www.austlii.edu.au/au/legis/vic/consol_act/pla1958179/" TargetMode="External"/><Relationship Id="rId19" Type="http://schemas.openxmlformats.org/officeDocument/2006/relationships/hyperlink" Target="http://www.austlii.edu.au/cgi-bin/LawCite?cit=%5b1940%5d%204%20All%20ER%201?stem=0&amp;synonyms=0&amp;query=title(" TargetMode="External"/><Relationship Id="rId4" Type="http://schemas.openxmlformats.org/officeDocument/2006/relationships/webSettings" Target="webSettings.xml"/><Relationship Id="rId9" Type="http://schemas.openxmlformats.org/officeDocument/2006/relationships/hyperlink" Target="http://www.austlii.edu.au/cgi-bin/LawCite?cit=%5b1962%5d%20VR%20274?stem=0&amp;synonyms=0&amp;query=title(" TargetMode="External"/><Relationship Id="rId14" Type="http://schemas.openxmlformats.org/officeDocument/2006/relationships/hyperlink" Target="http://www.austlii.edu.au/cgi-bin/LawCite?cit=%5b1957%5d%201%20QB%20330?stem=0&amp;synonyms=0&amp;query=title(" TargetMode="External"/><Relationship Id="rId22" Type="http://schemas.openxmlformats.org/officeDocument/2006/relationships/hyperlink" Target="http://www.austlii.edu.au/au/cases/vic/VicRp/1962/8.html"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2994</Words>
  <Characters>17069</Characters>
  <Application>Microsoft Office Word</Application>
  <DocSecurity>0</DocSecurity>
  <Lines>142</Lines>
  <Paragraphs>40</Paragraphs>
  <ScaleCrop>false</ScaleCrop>
  <Company/>
  <LinksUpToDate>false</LinksUpToDate>
  <CharactersWithSpaces>20023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Author</dc:creator>
  <cp:keywords/>
  <dc:description/>
  <cp:lastModifiedBy>Author</cp:lastModifiedBy>
  <cp:revision>5</cp:revision>
  <dcterms:created xsi:type="dcterms:W3CDTF">2012-09-30T23:53:00Z</dcterms:created>
  <dcterms:modified xsi:type="dcterms:W3CDTF">2012-10-01T00:03:00Z</dcterms:modified>
</cp:coreProperties>
</file>