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48EC" w:rsidRDefault="00C748EC" w:rsidP="00C748EC">
      <w:pPr>
        <w:pStyle w:val="Heading1"/>
      </w:pPr>
      <w:bookmarkStart w:id="0" w:name="_GoBack"/>
      <w:bookmarkEnd w:id="0"/>
      <w:r>
        <w:t>RED DOT DECISION SUMMARY</w:t>
      </w:r>
    </w:p>
    <w:p w:rsidR="00C748EC" w:rsidRDefault="00C748EC" w:rsidP="00C748EC">
      <w:pPr>
        <w:pStyle w:val="Header"/>
        <w:jc w:val="center"/>
        <w:rPr>
          <w:sz w:val="16"/>
          <w:szCs w:val="16"/>
        </w:rPr>
      </w:pPr>
      <w:r>
        <w:rPr>
          <w:sz w:val="16"/>
          <w:szCs w:val="16"/>
        </w:rPr>
        <w:t>The practice of VCAT is to designate cases of interest as ‘Red Dot Decisions’. A summary is published and the reasons why the decision is of interest or significance are identified. The full text of the decision follows. This Red Dot Summary does not form part of the decision or reasons for decision.</w:t>
      </w:r>
    </w:p>
    <w:p w:rsidR="00C748EC" w:rsidRDefault="00C748EC" w:rsidP="00C748EC">
      <w:pPr>
        <w:pStyle w:val="Header"/>
        <w:pBdr>
          <w:bottom w:val="single" w:sz="4" w:space="1" w:color="auto"/>
        </w:pBdr>
        <w:jc w:val="center"/>
        <w:rPr>
          <w:sz w:val="24"/>
          <w:szCs w:val="24"/>
        </w:rPr>
      </w:pPr>
    </w:p>
    <w:p w:rsidR="00C748EC" w:rsidRDefault="00C748EC" w:rsidP="00C748EC">
      <w:pPr>
        <w:pStyle w:val="Header"/>
      </w:pPr>
    </w:p>
    <w:p w:rsidR="00C748EC" w:rsidRDefault="00C748EC" w:rsidP="00C748EC">
      <w:pPr>
        <w:pStyle w:val="TitlePage1"/>
      </w:pPr>
      <w:r>
        <w:t>VICTORIAN CIVIL AND ADMINISTRATIVE TRIBUNAL</w:t>
      </w:r>
    </w:p>
    <w:p w:rsidR="00C748EC" w:rsidRDefault="00C748EC" w:rsidP="00C748EC">
      <w:pPr>
        <w:pStyle w:val="TitlePage1"/>
      </w:pPr>
      <w:r>
        <w:t>administrative DIVISION</w:t>
      </w:r>
    </w:p>
    <w:tbl>
      <w:tblPr>
        <w:tblW w:w="5000" w:type="pct"/>
        <w:tblLook w:val="0000" w:firstRow="0" w:lastRow="0" w:firstColumn="0" w:lastColumn="0" w:noHBand="0" w:noVBand="0"/>
      </w:tblPr>
      <w:tblGrid>
        <w:gridCol w:w="4608"/>
        <w:gridCol w:w="4113"/>
      </w:tblGrid>
      <w:tr w:rsidR="00C748EC" w:rsidTr="00C748EC">
        <w:trPr>
          <w:cantSplit/>
        </w:trPr>
        <w:tc>
          <w:tcPr>
            <w:tcW w:w="2642" w:type="pct"/>
          </w:tcPr>
          <w:p w:rsidR="00C748EC" w:rsidRDefault="00C748EC">
            <w:pPr>
              <w:pStyle w:val="TitlePage2"/>
            </w:pPr>
            <w:r>
              <w:t>planning and environment LIST</w:t>
            </w:r>
          </w:p>
        </w:tc>
        <w:tc>
          <w:tcPr>
            <w:tcW w:w="2358" w:type="pct"/>
          </w:tcPr>
          <w:p w:rsidR="00C748EC" w:rsidRDefault="00C748EC">
            <w:pPr>
              <w:pStyle w:val="TitlePage3"/>
            </w:pPr>
            <w:r>
              <w:t>vcat reference No. P2577/2012</w:t>
            </w:r>
          </w:p>
          <w:p w:rsidR="00C748EC" w:rsidRDefault="00C748EC">
            <w:pPr>
              <w:pStyle w:val="TitlePage3"/>
            </w:pPr>
            <w:r>
              <w:t>Permit Application no. D/62/2012</w:t>
            </w:r>
          </w:p>
        </w:tc>
      </w:tr>
    </w:tbl>
    <w:p w:rsidR="00C748EC" w:rsidRDefault="00C748EC" w:rsidP="00C748EC"/>
    <w:tbl>
      <w:tblPr>
        <w:tblW w:w="5000" w:type="pct"/>
        <w:tblLook w:val="0000" w:firstRow="0" w:lastRow="0" w:firstColumn="0" w:lastColumn="0" w:noHBand="0" w:noVBand="0"/>
      </w:tblPr>
      <w:tblGrid>
        <w:gridCol w:w="3529"/>
        <w:gridCol w:w="5192"/>
      </w:tblGrid>
      <w:tr w:rsidR="00C748EC" w:rsidTr="00C748EC">
        <w:tc>
          <w:tcPr>
            <w:tcW w:w="2023" w:type="pct"/>
          </w:tcPr>
          <w:p w:rsidR="00C748EC" w:rsidRDefault="00C748EC">
            <w:pPr>
              <w:pStyle w:val="TitlePage2"/>
            </w:pPr>
            <w:r>
              <w:t>in the matter of</w:t>
            </w:r>
          </w:p>
        </w:tc>
        <w:tc>
          <w:tcPr>
            <w:tcW w:w="2977" w:type="pct"/>
          </w:tcPr>
          <w:p w:rsidR="00C748EC" w:rsidRDefault="00C748EC">
            <w:pPr>
              <w:pStyle w:val="TitlePagetext"/>
            </w:pPr>
            <w:r>
              <w:t>Peter Giosis v Darebin City Council</w:t>
            </w:r>
          </w:p>
        </w:tc>
      </w:tr>
      <w:tr w:rsidR="00C748EC" w:rsidTr="00C748EC">
        <w:tc>
          <w:tcPr>
            <w:tcW w:w="2023" w:type="pct"/>
          </w:tcPr>
          <w:p w:rsidR="00C748EC" w:rsidRDefault="00C748EC">
            <w:pPr>
              <w:pStyle w:val="TitlePage2"/>
            </w:pPr>
            <w:r>
              <w:t>BEFORE</w:t>
            </w:r>
          </w:p>
        </w:tc>
        <w:tc>
          <w:tcPr>
            <w:tcW w:w="2977" w:type="pct"/>
          </w:tcPr>
          <w:p w:rsidR="00C748EC" w:rsidRDefault="00C748EC">
            <w:pPr>
              <w:pStyle w:val="TitlePagetext"/>
            </w:pPr>
            <w:r>
              <w:t>H. McM. Wright QC, Senior Member</w:t>
            </w:r>
          </w:p>
        </w:tc>
      </w:tr>
    </w:tbl>
    <w:p w:rsidR="00C748EC" w:rsidRDefault="00C748EC" w:rsidP="00C748EC"/>
    <w:p w:rsidR="00C748EC" w:rsidRDefault="00C748EC" w:rsidP="00C748EC"/>
    <w:tbl>
      <w:tblPr>
        <w:tblW w:w="0" w:type="auto"/>
        <w:tblLook w:val="01E0" w:firstRow="1" w:lastRow="1" w:firstColumn="1" w:lastColumn="1" w:noHBand="0" w:noVBand="0"/>
      </w:tblPr>
      <w:tblGrid>
        <w:gridCol w:w="3306"/>
        <w:gridCol w:w="5415"/>
      </w:tblGrid>
      <w:tr w:rsidR="00C748EC" w:rsidTr="00BA3E1F">
        <w:tc>
          <w:tcPr>
            <w:tcW w:w="3306" w:type="dxa"/>
            <w:tcBorders>
              <w:top w:val="single" w:sz="4" w:space="0" w:color="auto"/>
              <w:left w:val="single" w:sz="4" w:space="0" w:color="auto"/>
              <w:bottom w:val="single" w:sz="4" w:space="0" w:color="auto"/>
              <w:right w:val="single" w:sz="4" w:space="0" w:color="auto"/>
            </w:tcBorders>
          </w:tcPr>
          <w:p w:rsidR="00C748EC" w:rsidRDefault="00C748EC">
            <w:pPr>
              <w:spacing w:before="120"/>
              <w:rPr>
                <w:b/>
                <w:smallCaps/>
                <w:sz w:val="20"/>
                <w:szCs w:val="24"/>
              </w:rPr>
            </w:pPr>
            <w:r>
              <w:rPr>
                <w:b/>
                <w:smallCaps/>
                <w:sz w:val="20"/>
              </w:rPr>
              <w:t>Nature of case</w:t>
            </w:r>
          </w:p>
        </w:tc>
        <w:tc>
          <w:tcPr>
            <w:tcW w:w="5415" w:type="dxa"/>
            <w:tcBorders>
              <w:top w:val="single" w:sz="4" w:space="0" w:color="auto"/>
              <w:left w:val="single" w:sz="4" w:space="0" w:color="auto"/>
              <w:bottom w:val="single" w:sz="4" w:space="0" w:color="auto"/>
              <w:right w:val="single" w:sz="4" w:space="0" w:color="auto"/>
            </w:tcBorders>
          </w:tcPr>
          <w:p w:rsidR="00C748EC" w:rsidRDefault="00C748EC">
            <w:pPr>
              <w:spacing w:before="120"/>
              <w:rPr>
                <w:sz w:val="20"/>
                <w:szCs w:val="24"/>
              </w:rPr>
            </w:pPr>
            <w:r>
              <w:rPr>
                <w:sz w:val="20"/>
              </w:rPr>
              <w:t>Variation of restrictive covenant</w:t>
            </w:r>
          </w:p>
        </w:tc>
      </w:tr>
      <w:tr w:rsidR="00C748EC" w:rsidTr="00BA3E1F">
        <w:tc>
          <w:tcPr>
            <w:tcW w:w="8721" w:type="dxa"/>
            <w:gridSpan w:val="2"/>
            <w:tcBorders>
              <w:top w:val="single" w:sz="4" w:space="0" w:color="auto"/>
              <w:left w:val="single" w:sz="4" w:space="0" w:color="auto"/>
              <w:bottom w:val="single" w:sz="4" w:space="0" w:color="auto"/>
              <w:right w:val="single" w:sz="4" w:space="0" w:color="auto"/>
            </w:tcBorders>
          </w:tcPr>
          <w:p w:rsidR="00C748EC" w:rsidRDefault="00C748EC">
            <w:pPr>
              <w:spacing w:before="120"/>
              <w:rPr>
                <w:b/>
                <w:smallCaps/>
                <w:sz w:val="20"/>
                <w:szCs w:val="24"/>
              </w:rPr>
            </w:pPr>
            <w:r>
              <w:rPr>
                <w:b/>
                <w:smallCaps/>
                <w:sz w:val="20"/>
              </w:rPr>
              <w:t xml:space="preserve">REASONS WHY DECISION IS OF INTEREST OR SIGNIFICANCE </w:t>
            </w:r>
          </w:p>
        </w:tc>
      </w:tr>
      <w:tr w:rsidR="00C748EC" w:rsidTr="00BA3E1F">
        <w:tc>
          <w:tcPr>
            <w:tcW w:w="3306" w:type="dxa"/>
            <w:tcBorders>
              <w:top w:val="single" w:sz="4" w:space="0" w:color="auto"/>
              <w:left w:val="single" w:sz="4" w:space="0" w:color="auto"/>
              <w:bottom w:val="single" w:sz="4" w:space="0" w:color="auto"/>
              <w:right w:val="single" w:sz="4" w:space="0" w:color="auto"/>
            </w:tcBorders>
          </w:tcPr>
          <w:p w:rsidR="00C748EC" w:rsidRDefault="00C748EC">
            <w:pPr>
              <w:spacing w:before="120"/>
              <w:rPr>
                <w:b/>
                <w:smallCaps/>
                <w:sz w:val="20"/>
                <w:szCs w:val="24"/>
              </w:rPr>
            </w:pPr>
            <w:r>
              <w:rPr>
                <w:b/>
                <w:smallCaps/>
                <w:sz w:val="20"/>
              </w:rPr>
              <w:t xml:space="preserve">Legislation – </w:t>
            </w:r>
            <w:r>
              <w:rPr>
                <w:b/>
                <w:sz w:val="20"/>
              </w:rPr>
              <w:t>interpretation or application of statutory provision</w:t>
            </w:r>
          </w:p>
        </w:tc>
        <w:tc>
          <w:tcPr>
            <w:tcW w:w="5415" w:type="dxa"/>
            <w:tcBorders>
              <w:top w:val="single" w:sz="4" w:space="0" w:color="auto"/>
              <w:left w:val="single" w:sz="4" w:space="0" w:color="auto"/>
              <w:bottom w:val="single" w:sz="4" w:space="0" w:color="auto"/>
              <w:right w:val="single" w:sz="4" w:space="0" w:color="auto"/>
            </w:tcBorders>
          </w:tcPr>
          <w:p w:rsidR="00C748EC" w:rsidRDefault="00C748EC">
            <w:pPr>
              <w:spacing w:before="120"/>
              <w:rPr>
                <w:sz w:val="20"/>
                <w:szCs w:val="24"/>
              </w:rPr>
            </w:pPr>
            <w:r>
              <w:rPr>
                <w:sz w:val="20"/>
              </w:rPr>
              <w:t>Application of s.60(5) Planning and Environment Act</w:t>
            </w:r>
          </w:p>
        </w:tc>
      </w:tr>
    </w:tbl>
    <w:p w:rsidR="00C748EC" w:rsidRDefault="00C748EC" w:rsidP="00C748EC">
      <w:pPr>
        <w:pStyle w:val="Heading2"/>
      </w:pPr>
      <w:r>
        <w:t>Summary</w:t>
      </w:r>
    </w:p>
    <w:p w:rsidR="00C748EC" w:rsidRDefault="00C748EC" w:rsidP="00C748EC"/>
    <w:p w:rsidR="00C748EC" w:rsidRPr="005E4A00" w:rsidRDefault="00C748EC" w:rsidP="00C748EC">
      <w:r w:rsidRPr="005E4A00">
        <w:t>s.60(5)(a) Planning and Environment Act 1987 requires the Responsible Authority to conclude that all land owners with the benefit of the restrictive covenant will be unlikely to suffer any detriment of any kind as a consequence of the variation of the covenant.</w:t>
      </w:r>
    </w:p>
    <w:p w:rsidR="00C748EC" w:rsidRPr="005E4A00" w:rsidRDefault="00C748EC" w:rsidP="00C748EC"/>
    <w:p w:rsidR="00C748EC" w:rsidRPr="005E4A00" w:rsidRDefault="00C748EC" w:rsidP="00C748EC">
      <w:r w:rsidRPr="005E4A00">
        <w:t>The fact that benefitting owners have not objected does not impel the conclusion of that they are unlikely to suffer detriment of any kind.</w:t>
      </w:r>
    </w:p>
    <w:p w:rsidR="00C748EC" w:rsidRPr="005E4A00" w:rsidRDefault="00C748EC" w:rsidP="00C748EC"/>
    <w:p w:rsidR="00C748EC" w:rsidRPr="005E4A00" w:rsidRDefault="00C748EC" w:rsidP="00C748EC">
      <w:r w:rsidRPr="005E4A00">
        <w:t>If the application for a permit to vary the restrictive covenant is not accompanied by a collateral application for approval of a specific development it will generally not be possible for the Responsible Authority to reach the conclusion that any form of development of the land permitted by the proposed variation will be unlikely to cause detriment, particularly where abutting or adjacent properties enjoy the benefit of the covenant.</w:t>
      </w:r>
    </w:p>
    <w:p w:rsidR="00C748EC" w:rsidRPr="005E4A00" w:rsidRDefault="00C748EC" w:rsidP="00C748EC"/>
    <w:p w:rsidR="00C748EC" w:rsidRPr="005E4A00" w:rsidRDefault="00C748EC" w:rsidP="00C748EC">
      <w:r w:rsidRPr="005E4A00">
        <w:t>The Tribunal queried whether the notion of “constructive vexation” suggested in some Supreme Court decisions relating to vexatious litigants is applicable to section 60(5)(b) of the Act.</w:t>
      </w:r>
    </w:p>
    <w:p w:rsidR="00C748EC" w:rsidRPr="005E4A00" w:rsidRDefault="00C748EC" w:rsidP="00C748EC"/>
    <w:p w:rsidR="00C748EC" w:rsidRPr="005E4A00" w:rsidRDefault="00C748EC" w:rsidP="00C748EC">
      <w:r w:rsidRPr="005E4A00">
        <w:t>The ability to grant a permit to remove or vary a restrictive covenant under the Act is essentially confined to “deadwood” covenants.</w:t>
      </w:r>
    </w:p>
    <w:p w:rsidR="000429D7" w:rsidRDefault="00C748EC">
      <w:pPr>
        <w:pStyle w:val="TitlePage1"/>
      </w:pPr>
      <w:r>
        <w:br w:type="page"/>
      </w:r>
      <w:r w:rsidR="000429D7">
        <w:lastRenderedPageBreak/>
        <w:t>VICTORIAN CIVIL AND ADMINISTRATIVE TRIBUNAL</w:t>
      </w:r>
    </w:p>
    <w:p w:rsidR="000429D7" w:rsidRDefault="000429D7">
      <w:pPr>
        <w:pStyle w:val="TitlePage1"/>
      </w:pPr>
      <w:bookmarkStart w:id="1" w:name="Division"/>
      <w:bookmarkEnd w:id="1"/>
      <w:r>
        <w:t>administrative DIVISION</w:t>
      </w:r>
    </w:p>
    <w:tbl>
      <w:tblPr>
        <w:tblW w:w="5000" w:type="pct"/>
        <w:tblLook w:val="0000" w:firstRow="0" w:lastRow="0" w:firstColumn="0" w:lastColumn="0" w:noHBand="0" w:noVBand="0"/>
      </w:tblPr>
      <w:tblGrid>
        <w:gridCol w:w="4608"/>
        <w:gridCol w:w="4113"/>
      </w:tblGrid>
      <w:tr w:rsidR="000429D7">
        <w:tblPrEx>
          <w:tblCellMar>
            <w:top w:w="0" w:type="dxa"/>
            <w:bottom w:w="0" w:type="dxa"/>
          </w:tblCellMar>
        </w:tblPrEx>
        <w:trPr>
          <w:cantSplit/>
        </w:trPr>
        <w:tc>
          <w:tcPr>
            <w:tcW w:w="2642" w:type="pct"/>
          </w:tcPr>
          <w:p w:rsidR="000429D7" w:rsidRDefault="000429D7">
            <w:pPr>
              <w:pStyle w:val="TitlePage2"/>
            </w:pPr>
            <w:bookmarkStart w:id="2" w:name="SubDivision"/>
            <w:bookmarkEnd w:id="2"/>
            <w:r>
              <w:t>planning and environment LIST</w:t>
            </w:r>
          </w:p>
        </w:tc>
        <w:tc>
          <w:tcPr>
            <w:tcW w:w="2358" w:type="pct"/>
          </w:tcPr>
          <w:p w:rsidR="000429D7" w:rsidRDefault="000429D7">
            <w:pPr>
              <w:pStyle w:val="TitlePage3"/>
            </w:pPr>
            <w:bookmarkStart w:id="3" w:name="FileNo1"/>
            <w:bookmarkEnd w:id="3"/>
            <w:r>
              <w:t xml:space="preserve">vcat reference No. </w:t>
            </w:r>
            <w:r w:rsidR="001A1490">
              <w:t>P2577/2012</w:t>
            </w:r>
          </w:p>
          <w:p w:rsidR="000429D7" w:rsidRDefault="000429D7">
            <w:pPr>
              <w:pStyle w:val="TitlePage3"/>
            </w:pPr>
            <w:r>
              <w:t xml:space="preserve">Permit Application no. </w:t>
            </w:r>
            <w:r w:rsidR="001A1490">
              <w:t>D/62/2012</w:t>
            </w:r>
          </w:p>
        </w:tc>
      </w:tr>
      <w:tr w:rsidR="000429D7">
        <w:tblPrEx>
          <w:jc w:val="center"/>
          <w:tblCellMar>
            <w:top w:w="0" w:type="dxa"/>
            <w:bottom w:w="0" w:type="dxa"/>
          </w:tblCellMar>
        </w:tblPrEx>
        <w:trPr>
          <w:cantSplit/>
          <w:jc w:val="center"/>
        </w:trPr>
        <w:tc>
          <w:tcPr>
            <w:tcW w:w="5000" w:type="pct"/>
            <w:gridSpan w:val="2"/>
          </w:tcPr>
          <w:p w:rsidR="000429D7" w:rsidRDefault="000429D7">
            <w:pPr>
              <w:pStyle w:val="TitlePage2"/>
              <w:jc w:val="center"/>
            </w:pPr>
            <w:r>
              <w:t>CATCHWORDS</w:t>
            </w:r>
          </w:p>
        </w:tc>
      </w:tr>
      <w:tr w:rsidR="000429D7">
        <w:tblPrEx>
          <w:jc w:val="center"/>
          <w:tblCellMar>
            <w:top w:w="0" w:type="dxa"/>
            <w:bottom w:w="0" w:type="dxa"/>
          </w:tblCellMar>
        </w:tblPrEx>
        <w:trPr>
          <w:cantSplit/>
          <w:jc w:val="center"/>
        </w:trPr>
        <w:tc>
          <w:tcPr>
            <w:tcW w:w="5000" w:type="pct"/>
            <w:gridSpan w:val="2"/>
          </w:tcPr>
          <w:p w:rsidR="000429D7" w:rsidRDefault="000429D7">
            <w:pPr>
              <w:pStyle w:val="Catchwords"/>
            </w:pPr>
          </w:p>
        </w:tc>
      </w:tr>
    </w:tbl>
    <w:p w:rsidR="000429D7" w:rsidRDefault="000429D7">
      <w:bookmarkStart w:id="4" w:name="Catchwords"/>
      <w:bookmarkEnd w:id="4"/>
    </w:p>
    <w:tbl>
      <w:tblPr>
        <w:tblW w:w="5000" w:type="pct"/>
        <w:tblLook w:val="0000" w:firstRow="0" w:lastRow="0" w:firstColumn="0" w:lastColumn="0" w:noHBand="0" w:noVBand="0"/>
      </w:tblPr>
      <w:tblGrid>
        <w:gridCol w:w="3708"/>
        <w:gridCol w:w="5013"/>
      </w:tblGrid>
      <w:tr w:rsidR="000429D7" w:rsidTr="00003458">
        <w:tblPrEx>
          <w:tblCellMar>
            <w:top w:w="0" w:type="dxa"/>
            <w:bottom w:w="0" w:type="dxa"/>
          </w:tblCellMar>
        </w:tblPrEx>
        <w:tc>
          <w:tcPr>
            <w:tcW w:w="2126" w:type="pct"/>
          </w:tcPr>
          <w:p w:rsidR="000429D7" w:rsidRDefault="000429D7">
            <w:pPr>
              <w:pStyle w:val="TitlePage2"/>
            </w:pPr>
            <w:bookmarkStart w:id="5" w:name="DELcomplainants2"/>
            <w:bookmarkStart w:id="6" w:name="DELcar"/>
            <w:bookmarkStart w:id="7" w:name="DELapp"/>
            <w:bookmarkStart w:id="8" w:name="DELitmo"/>
            <w:r>
              <w:t>APPLICANT</w:t>
            </w:r>
          </w:p>
        </w:tc>
        <w:tc>
          <w:tcPr>
            <w:tcW w:w="2874" w:type="pct"/>
          </w:tcPr>
          <w:p w:rsidR="000429D7" w:rsidRDefault="001A1490">
            <w:pPr>
              <w:pStyle w:val="TitlePagetext"/>
            </w:pPr>
            <w:bookmarkStart w:id="9" w:name="Applicant"/>
            <w:bookmarkEnd w:id="9"/>
            <w:r>
              <w:t>Peter Giosis</w:t>
            </w:r>
          </w:p>
        </w:tc>
      </w:tr>
      <w:tr w:rsidR="000429D7" w:rsidTr="00003458">
        <w:tblPrEx>
          <w:tblCellMar>
            <w:top w:w="0" w:type="dxa"/>
            <w:bottom w:w="0" w:type="dxa"/>
          </w:tblCellMar>
        </w:tblPrEx>
        <w:tc>
          <w:tcPr>
            <w:tcW w:w="2126" w:type="pct"/>
          </w:tcPr>
          <w:p w:rsidR="000429D7" w:rsidRDefault="000429D7">
            <w:pPr>
              <w:pStyle w:val="TitlePage2"/>
            </w:pPr>
            <w:r>
              <w:t>RESPONSIBLE AUTHORITY</w:t>
            </w:r>
          </w:p>
        </w:tc>
        <w:tc>
          <w:tcPr>
            <w:tcW w:w="2874" w:type="pct"/>
          </w:tcPr>
          <w:p w:rsidR="000429D7" w:rsidRDefault="001A1490">
            <w:pPr>
              <w:pStyle w:val="TitlePagetext"/>
            </w:pPr>
            <w:bookmarkStart w:id="10" w:name="ResponsibleAuthority"/>
            <w:bookmarkEnd w:id="10"/>
            <w:r>
              <w:t>Darebin City Council</w:t>
            </w:r>
          </w:p>
        </w:tc>
      </w:tr>
      <w:tr w:rsidR="000429D7" w:rsidTr="00003458">
        <w:tblPrEx>
          <w:tblCellMar>
            <w:top w:w="0" w:type="dxa"/>
            <w:bottom w:w="0" w:type="dxa"/>
          </w:tblCellMar>
        </w:tblPrEx>
        <w:tc>
          <w:tcPr>
            <w:tcW w:w="2126" w:type="pct"/>
          </w:tcPr>
          <w:p w:rsidR="000429D7" w:rsidRDefault="000429D7">
            <w:pPr>
              <w:pStyle w:val="TitlePage2"/>
            </w:pPr>
            <w:bookmarkStart w:id="11" w:name="INSresponsibleAuthority"/>
            <w:bookmarkStart w:id="12" w:name="DELsubjectland"/>
            <w:bookmarkEnd w:id="5"/>
            <w:bookmarkEnd w:id="6"/>
            <w:bookmarkEnd w:id="7"/>
            <w:bookmarkEnd w:id="11"/>
            <w:smartTag w:uri="urn:schemas-microsoft-com:office:smarttags" w:element="place">
              <w:smartTag w:uri="urn:schemas-microsoft-com:office:smarttags" w:element="PlaceName">
                <w:r>
                  <w:t>SUBJECT</w:t>
                </w:r>
              </w:smartTag>
              <w:r>
                <w:t xml:space="preserve"> </w:t>
              </w:r>
              <w:smartTag w:uri="urn:schemas-microsoft-com:office:smarttags" w:element="PlaceType">
                <w:r>
                  <w:t>LAND</w:t>
                </w:r>
              </w:smartTag>
            </w:smartTag>
          </w:p>
        </w:tc>
        <w:tc>
          <w:tcPr>
            <w:tcW w:w="2874" w:type="pct"/>
          </w:tcPr>
          <w:p w:rsidR="000429D7" w:rsidRDefault="001A1490">
            <w:pPr>
              <w:pStyle w:val="TitlePagetext"/>
            </w:pPr>
            <w:bookmarkStart w:id="13" w:name="subjectland"/>
            <w:bookmarkEnd w:id="13"/>
            <w:smartTag w:uri="urn:schemas-microsoft-com:office:smarttags" w:element="address">
              <w:smartTag w:uri="urn:schemas-microsoft-com:office:smarttags" w:element="Street">
                <w:r>
                  <w:t>26 Maclagan Crescent</w:t>
                </w:r>
              </w:smartTag>
            </w:smartTag>
            <w:r>
              <w:t>, Reservoir</w:t>
            </w:r>
          </w:p>
        </w:tc>
      </w:tr>
      <w:bookmarkEnd w:id="8"/>
      <w:bookmarkEnd w:id="12"/>
      <w:tr w:rsidR="000429D7" w:rsidTr="00003458">
        <w:tblPrEx>
          <w:tblCellMar>
            <w:top w:w="0" w:type="dxa"/>
            <w:bottom w:w="0" w:type="dxa"/>
          </w:tblCellMar>
        </w:tblPrEx>
        <w:tc>
          <w:tcPr>
            <w:tcW w:w="2126" w:type="pct"/>
          </w:tcPr>
          <w:p w:rsidR="000429D7" w:rsidRDefault="000429D7">
            <w:pPr>
              <w:pStyle w:val="TitlePage2"/>
            </w:pPr>
            <w:r>
              <w:t>WHERE HELD</w:t>
            </w:r>
          </w:p>
        </w:tc>
        <w:tc>
          <w:tcPr>
            <w:tcW w:w="2874" w:type="pct"/>
          </w:tcPr>
          <w:p w:rsidR="000429D7" w:rsidRDefault="000429D7">
            <w:pPr>
              <w:pStyle w:val="TitlePagetext"/>
            </w:pPr>
            <w:bookmarkStart w:id="14" w:name="Location"/>
            <w:bookmarkEnd w:id="14"/>
            <w:smartTag w:uri="urn:schemas-microsoft-com:office:smarttags" w:element="place">
              <w:smartTag w:uri="urn:schemas-microsoft-com:office:smarttags" w:element="City">
                <w:r>
                  <w:t>Melbourne</w:t>
                </w:r>
              </w:smartTag>
            </w:smartTag>
          </w:p>
        </w:tc>
      </w:tr>
      <w:tr w:rsidR="000429D7" w:rsidTr="00003458">
        <w:tblPrEx>
          <w:tblCellMar>
            <w:top w:w="0" w:type="dxa"/>
            <w:bottom w:w="0" w:type="dxa"/>
          </w:tblCellMar>
        </w:tblPrEx>
        <w:tc>
          <w:tcPr>
            <w:tcW w:w="2126" w:type="pct"/>
          </w:tcPr>
          <w:p w:rsidR="000429D7" w:rsidRDefault="000429D7">
            <w:pPr>
              <w:pStyle w:val="TitlePage2"/>
            </w:pPr>
            <w:r>
              <w:t>BEFORE</w:t>
            </w:r>
          </w:p>
        </w:tc>
        <w:tc>
          <w:tcPr>
            <w:tcW w:w="2874" w:type="pct"/>
          </w:tcPr>
          <w:p w:rsidR="000429D7" w:rsidRDefault="00251DF4">
            <w:pPr>
              <w:pStyle w:val="TitlePagetext"/>
            </w:pPr>
            <w:bookmarkStart w:id="15" w:name="Before"/>
            <w:bookmarkEnd w:id="15"/>
            <w:r>
              <w:t>H. McM.</w:t>
            </w:r>
            <w:r w:rsidR="00D1466C">
              <w:t xml:space="preserve"> Wright</w:t>
            </w:r>
            <w:r>
              <w:t xml:space="preserve"> QC</w:t>
            </w:r>
            <w:r w:rsidR="000429D7">
              <w:t>, Senior Member</w:t>
            </w:r>
          </w:p>
        </w:tc>
      </w:tr>
      <w:tr w:rsidR="000429D7" w:rsidTr="00003458">
        <w:tblPrEx>
          <w:tblCellMar>
            <w:top w:w="0" w:type="dxa"/>
            <w:bottom w:w="0" w:type="dxa"/>
          </w:tblCellMar>
        </w:tblPrEx>
        <w:tc>
          <w:tcPr>
            <w:tcW w:w="2126" w:type="pct"/>
          </w:tcPr>
          <w:p w:rsidR="000429D7" w:rsidRDefault="000429D7">
            <w:pPr>
              <w:pStyle w:val="TitlePage2"/>
            </w:pPr>
            <w:r>
              <w:t>HEARING TYPE</w:t>
            </w:r>
          </w:p>
        </w:tc>
        <w:tc>
          <w:tcPr>
            <w:tcW w:w="2874" w:type="pct"/>
          </w:tcPr>
          <w:p w:rsidR="000429D7" w:rsidRDefault="00003458">
            <w:pPr>
              <w:pStyle w:val="TitlePagetext"/>
            </w:pPr>
            <w:bookmarkStart w:id="16" w:name="HearingType"/>
            <w:bookmarkEnd w:id="16"/>
            <w:r>
              <w:t>H</w:t>
            </w:r>
            <w:r w:rsidR="000429D7">
              <w:t>earing</w:t>
            </w:r>
          </w:p>
        </w:tc>
      </w:tr>
      <w:tr w:rsidR="00003458" w:rsidTr="00003458">
        <w:tblPrEx>
          <w:tblCellMar>
            <w:top w:w="0" w:type="dxa"/>
            <w:bottom w:w="0" w:type="dxa"/>
          </w:tblCellMar>
        </w:tblPrEx>
        <w:tc>
          <w:tcPr>
            <w:tcW w:w="2126" w:type="pct"/>
          </w:tcPr>
          <w:p w:rsidR="00003458" w:rsidRDefault="00003458">
            <w:pPr>
              <w:pStyle w:val="TitlePage2"/>
            </w:pPr>
            <w:r>
              <w:t>date of hearing</w:t>
            </w:r>
          </w:p>
        </w:tc>
        <w:tc>
          <w:tcPr>
            <w:tcW w:w="2874" w:type="pct"/>
          </w:tcPr>
          <w:p w:rsidR="00003458" w:rsidRDefault="001A1490">
            <w:pPr>
              <w:pStyle w:val="TitlePagetext"/>
            </w:pPr>
            <w:r>
              <w:t>14 May 2013</w:t>
            </w:r>
          </w:p>
        </w:tc>
      </w:tr>
      <w:tr w:rsidR="000429D7" w:rsidTr="00003458">
        <w:tblPrEx>
          <w:tblCellMar>
            <w:top w:w="0" w:type="dxa"/>
            <w:bottom w:w="0" w:type="dxa"/>
          </w:tblCellMar>
        </w:tblPrEx>
        <w:tc>
          <w:tcPr>
            <w:tcW w:w="2126" w:type="pct"/>
          </w:tcPr>
          <w:p w:rsidR="000429D7" w:rsidRDefault="000429D7">
            <w:pPr>
              <w:pStyle w:val="TitlePage2"/>
            </w:pPr>
            <w:r>
              <w:t>DATE OF ORDER</w:t>
            </w:r>
          </w:p>
        </w:tc>
        <w:tc>
          <w:tcPr>
            <w:tcW w:w="2874" w:type="pct"/>
          </w:tcPr>
          <w:p w:rsidR="000429D7" w:rsidRDefault="008B209B">
            <w:pPr>
              <w:pStyle w:val="TitlePagetext"/>
            </w:pPr>
            <w:bookmarkStart w:id="17" w:name="DateOrder"/>
            <w:bookmarkEnd w:id="17"/>
            <w:r>
              <w:t>16 May 2013</w:t>
            </w:r>
          </w:p>
        </w:tc>
      </w:tr>
      <w:tr w:rsidR="001A1490" w:rsidTr="00003458">
        <w:tblPrEx>
          <w:tblCellMar>
            <w:top w:w="0" w:type="dxa"/>
            <w:bottom w:w="0" w:type="dxa"/>
          </w:tblCellMar>
        </w:tblPrEx>
        <w:tc>
          <w:tcPr>
            <w:tcW w:w="2126" w:type="pct"/>
          </w:tcPr>
          <w:p w:rsidR="001A1490" w:rsidRDefault="001A1490">
            <w:pPr>
              <w:pStyle w:val="TitlePage2"/>
            </w:pPr>
            <w:r>
              <w:t>citation</w:t>
            </w:r>
          </w:p>
        </w:tc>
        <w:tc>
          <w:tcPr>
            <w:tcW w:w="2874" w:type="pct"/>
          </w:tcPr>
          <w:p w:rsidR="001A1490" w:rsidRPr="005809DA" w:rsidRDefault="005809DA">
            <w:pPr>
              <w:pStyle w:val="TitlePagetext"/>
            </w:pPr>
            <w:r w:rsidRPr="005809DA">
              <w:t>Giosis v Darebin CC (includes Summary)(Red Dot) [2013] VCAT 825</w:t>
            </w:r>
          </w:p>
        </w:tc>
      </w:tr>
    </w:tbl>
    <w:p w:rsidR="000429D7" w:rsidRDefault="000429D7">
      <w:pPr>
        <w:pStyle w:val="Heading1"/>
      </w:pPr>
      <w:bookmarkStart w:id="18" w:name="DELorders"/>
      <w:r>
        <w:t>ORDER</w:t>
      </w:r>
      <w:bookmarkEnd w:id="18"/>
    </w:p>
    <w:p w:rsidR="000500BB" w:rsidRDefault="001A1490" w:rsidP="008B209B">
      <w:pPr>
        <w:pStyle w:val="Order2"/>
        <w:numPr>
          <w:ilvl w:val="0"/>
          <w:numId w:val="6"/>
        </w:numPr>
        <w:spacing w:line="240" w:lineRule="auto"/>
        <w:rPr>
          <w:lang w:val="en-GB"/>
        </w:rPr>
      </w:pPr>
      <w:r>
        <w:rPr>
          <w:lang w:val="en-GB"/>
        </w:rPr>
        <w:t>The application for review is disallowed.</w:t>
      </w:r>
    </w:p>
    <w:p w:rsidR="001A1490" w:rsidRDefault="001A1490" w:rsidP="008B209B">
      <w:pPr>
        <w:pStyle w:val="Order2"/>
        <w:numPr>
          <w:ilvl w:val="0"/>
          <w:numId w:val="6"/>
        </w:numPr>
        <w:spacing w:line="240" w:lineRule="auto"/>
        <w:rPr>
          <w:lang w:val="en-GB"/>
        </w:rPr>
      </w:pPr>
      <w:r>
        <w:rPr>
          <w:lang w:val="en-GB"/>
        </w:rPr>
        <w:t xml:space="preserve">The decision of the Responsible Authority is affirmed and it is directed that no permit be issued for the variation of the restrictive covenant </w:t>
      </w:r>
      <w:r w:rsidR="00843E0E">
        <w:rPr>
          <w:lang w:val="en-GB"/>
        </w:rPr>
        <w:t xml:space="preserve">which burdens </w:t>
      </w:r>
      <w:smartTag w:uri="urn:schemas-microsoft-com:office:smarttags" w:element="address">
        <w:smartTag w:uri="urn:schemas-microsoft-com:office:smarttags" w:element="Street">
          <w:r>
            <w:rPr>
              <w:lang w:val="en-GB"/>
            </w:rPr>
            <w:t>26 Macla</w:t>
          </w:r>
          <w:r w:rsidR="0049286B">
            <w:rPr>
              <w:lang w:val="en-GB"/>
            </w:rPr>
            <w:t>g</w:t>
          </w:r>
          <w:r>
            <w:rPr>
              <w:lang w:val="en-GB"/>
            </w:rPr>
            <w:t>an Crescent</w:t>
          </w:r>
        </w:smartTag>
      </w:smartTag>
      <w:r>
        <w:rPr>
          <w:lang w:val="en-GB"/>
        </w:rPr>
        <w:t>, Reservoir.</w:t>
      </w:r>
    </w:p>
    <w:p w:rsidR="000500BB" w:rsidRDefault="000500BB" w:rsidP="008B209B">
      <w:pPr>
        <w:pStyle w:val="Order2"/>
        <w:numPr>
          <w:ilvl w:val="0"/>
          <w:numId w:val="0"/>
        </w:numPr>
        <w:spacing w:line="240" w:lineRule="auto"/>
        <w:rPr>
          <w:lang w:val="en-GB"/>
        </w:rPr>
      </w:pPr>
    </w:p>
    <w:p w:rsidR="008B209B" w:rsidRDefault="008B209B" w:rsidP="008B209B">
      <w:pPr>
        <w:pStyle w:val="Order2"/>
        <w:numPr>
          <w:ilvl w:val="0"/>
          <w:numId w:val="0"/>
        </w:numPr>
        <w:spacing w:line="240" w:lineRule="auto"/>
        <w:rPr>
          <w:lang w:val="en-GB"/>
        </w:rPr>
      </w:pPr>
    </w:p>
    <w:p w:rsidR="00854ADA" w:rsidRDefault="00854ADA" w:rsidP="008B209B"/>
    <w:p w:rsidR="002F1DFE" w:rsidRDefault="002F1DFE" w:rsidP="008B209B"/>
    <w:tbl>
      <w:tblPr>
        <w:tblW w:w="5000" w:type="pct"/>
        <w:tblLook w:val="0000" w:firstRow="0" w:lastRow="0" w:firstColumn="0" w:lastColumn="0" w:noHBand="0" w:noVBand="0"/>
      </w:tblPr>
      <w:tblGrid>
        <w:gridCol w:w="2907"/>
        <w:gridCol w:w="2908"/>
        <w:gridCol w:w="2906"/>
      </w:tblGrid>
      <w:tr w:rsidR="000429D7">
        <w:tblPrEx>
          <w:tblCellMar>
            <w:top w:w="0" w:type="dxa"/>
            <w:bottom w:w="0" w:type="dxa"/>
          </w:tblCellMar>
        </w:tblPrEx>
        <w:tc>
          <w:tcPr>
            <w:tcW w:w="1667" w:type="pct"/>
          </w:tcPr>
          <w:p w:rsidR="000429D7" w:rsidRDefault="00251DF4" w:rsidP="008B209B">
            <w:r>
              <w:t>H. McM. Wright QC</w:t>
            </w:r>
          </w:p>
          <w:p w:rsidR="000429D7" w:rsidRDefault="000429D7" w:rsidP="008B209B">
            <w:pPr>
              <w:tabs>
                <w:tab w:val="left" w:pos="1515"/>
              </w:tabs>
              <w:rPr>
                <w:b/>
              </w:rPr>
            </w:pPr>
            <w:r>
              <w:rPr>
                <w:b/>
              </w:rPr>
              <w:t>Senior Member</w:t>
            </w:r>
          </w:p>
        </w:tc>
        <w:tc>
          <w:tcPr>
            <w:tcW w:w="1667" w:type="pct"/>
          </w:tcPr>
          <w:p w:rsidR="000429D7" w:rsidRDefault="000429D7" w:rsidP="008B209B"/>
        </w:tc>
        <w:tc>
          <w:tcPr>
            <w:tcW w:w="1667" w:type="pct"/>
          </w:tcPr>
          <w:p w:rsidR="000429D7" w:rsidRDefault="000429D7" w:rsidP="008B209B"/>
        </w:tc>
      </w:tr>
    </w:tbl>
    <w:p w:rsidR="00826DC3" w:rsidRDefault="00826DC3" w:rsidP="008B209B"/>
    <w:p w:rsidR="000429D7" w:rsidRDefault="00826DC3" w:rsidP="008B209B">
      <w:r>
        <w:br w:type="page"/>
      </w:r>
    </w:p>
    <w:p w:rsidR="00FB6011" w:rsidRDefault="00FB6011" w:rsidP="008B209B"/>
    <w:tbl>
      <w:tblPr>
        <w:tblW w:w="5000" w:type="pct"/>
        <w:tblLook w:val="0000" w:firstRow="0" w:lastRow="0" w:firstColumn="0" w:lastColumn="0" w:noHBand="0" w:noVBand="0"/>
      </w:tblPr>
      <w:tblGrid>
        <w:gridCol w:w="3529"/>
        <w:gridCol w:w="5192"/>
      </w:tblGrid>
      <w:tr w:rsidR="00003458" w:rsidTr="00C67C84">
        <w:tblPrEx>
          <w:tblCellMar>
            <w:top w:w="0" w:type="dxa"/>
            <w:bottom w:w="0" w:type="dxa"/>
          </w:tblCellMar>
        </w:tblPrEx>
        <w:trPr>
          <w:cantSplit/>
        </w:trPr>
        <w:tc>
          <w:tcPr>
            <w:tcW w:w="2023" w:type="pct"/>
          </w:tcPr>
          <w:p w:rsidR="00003458" w:rsidRDefault="00003458" w:rsidP="008B209B">
            <w:pPr>
              <w:pStyle w:val="Heading2"/>
            </w:pPr>
            <w:r>
              <w:t>APPEARANCES:</w:t>
            </w:r>
          </w:p>
        </w:tc>
        <w:tc>
          <w:tcPr>
            <w:tcW w:w="2977" w:type="pct"/>
          </w:tcPr>
          <w:p w:rsidR="00003458" w:rsidRDefault="00003458" w:rsidP="008B209B">
            <w:pPr>
              <w:pStyle w:val="TitlePagetext"/>
            </w:pPr>
          </w:p>
        </w:tc>
      </w:tr>
      <w:tr w:rsidR="00003458" w:rsidTr="00C67C84">
        <w:tblPrEx>
          <w:tblCellMar>
            <w:top w:w="0" w:type="dxa"/>
            <w:bottom w:w="0" w:type="dxa"/>
          </w:tblCellMar>
        </w:tblPrEx>
        <w:trPr>
          <w:cantSplit/>
        </w:trPr>
        <w:tc>
          <w:tcPr>
            <w:tcW w:w="2023" w:type="pct"/>
          </w:tcPr>
          <w:p w:rsidR="00003458" w:rsidRDefault="00003458" w:rsidP="008B209B">
            <w:pPr>
              <w:pStyle w:val="TitlePagetext"/>
            </w:pPr>
            <w:r>
              <w:t xml:space="preserve">For Applicant </w:t>
            </w:r>
          </w:p>
        </w:tc>
        <w:tc>
          <w:tcPr>
            <w:tcW w:w="2977" w:type="pct"/>
          </w:tcPr>
          <w:p w:rsidR="00003458" w:rsidRDefault="001A1490" w:rsidP="008B209B">
            <w:pPr>
              <w:pStyle w:val="TitlePagetext"/>
            </w:pPr>
            <w:r>
              <w:t>Rupert Watters of Counsel instructed by Messrs Harwood Andrews</w:t>
            </w:r>
          </w:p>
        </w:tc>
      </w:tr>
      <w:tr w:rsidR="00003458" w:rsidTr="00C67C84">
        <w:tblPrEx>
          <w:tblCellMar>
            <w:top w:w="0" w:type="dxa"/>
            <w:bottom w:w="0" w:type="dxa"/>
          </w:tblCellMar>
        </w:tblPrEx>
        <w:trPr>
          <w:cantSplit/>
        </w:trPr>
        <w:tc>
          <w:tcPr>
            <w:tcW w:w="2023" w:type="pct"/>
          </w:tcPr>
          <w:p w:rsidR="00003458" w:rsidRDefault="00003458" w:rsidP="008B209B">
            <w:pPr>
              <w:pStyle w:val="TitlePagetext"/>
            </w:pPr>
            <w:r>
              <w:t>For Responsible Authority</w:t>
            </w:r>
          </w:p>
        </w:tc>
        <w:tc>
          <w:tcPr>
            <w:tcW w:w="2977" w:type="pct"/>
          </w:tcPr>
          <w:p w:rsidR="00003458" w:rsidRDefault="001A1490" w:rsidP="008B209B">
            <w:pPr>
              <w:pStyle w:val="TitlePagetext"/>
            </w:pPr>
            <w:r>
              <w:t>Robert Phillips, appeals advocate and council officer</w:t>
            </w:r>
          </w:p>
        </w:tc>
      </w:tr>
    </w:tbl>
    <w:p w:rsidR="00826DC3" w:rsidRDefault="00826DC3" w:rsidP="008B209B">
      <w:pPr>
        <w:rPr>
          <w:highlight w:val="yellow"/>
        </w:rPr>
      </w:pPr>
    </w:p>
    <w:p w:rsidR="00826DC3" w:rsidRDefault="00826DC3" w:rsidP="008B209B">
      <w:pPr>
        <w:pStyle w:val="Heading1"/>
      </w:pPr>
      <w:r>
        <w:t>INFORMATION</w:t>
      </w:r>
    </w:p>
    <w:tbl>
      <w:tblPr>
        <w:tblW w:w="5000" w:type="pct"/>
        <w:tblLook w:val="0000" w:firstRow="0" w:lastRow="0" w:firstColumn="0" w:lastColumn="0" w:noHBand="0" w:noVBand="0"/>
      </w:tblPr>
      <w:tblGrid>
        <w:gridCol w:w="3529"/>
        <w:gridCol w:w="5192"/>
      </w:tblGrid>
      <w:tr w:rsidR="00826DC3" w:rsidTr="00FF4C6B">
        <w:tblPrEx>
          <w:tblCellMar>
            <w:top w:w="0" w:type="dxa"/>
            <w:bottom w:w="0" w:type="dxa"/>
          </w:tblCellMar>
        </w:tblPrEx>
        <w:trPr>
          <w:cantSplit/>
        </w:trPr>
        <w:tc>
          <w:tcPr>
            <w:tcW w:w="2023" w:type="pct"/>
          </w:tcPr>
          <w:p w:rsidR="00826DC3" w:rsidRDefault="00826DC3" w:rsidP="008B209B">
            <w:pPr>
              <w:pStyle w:val="TitlePagetext"/>
            </w:pPr>
            <w:r>
              <w:t>Description of Proposal</w:t>
            </w:r>
          </w:p>
        </w:tc>
        <w:tc>
          <w:tcPr>
            <w:tcW w:w="2977" w:type="pct"/>
          </w:tcPr>
          <w:p w:rsidR="00826DC3" w:rsidRDefault="001A1490" w:rsidP="008B209B">
            <w:pPr>
              <w:pStyle w:val="TitlePagetext"/>
            </w:pPr>
            <w:r>
              <w:t>Variation of a restrictive covenant.</w:t>
            </w:r>
          </w:p>
        </w:tc>
      </w:tr>
      <w:tr w:rsidR="00826DC3" w:rsidTr="00FF4C6B">
        <w:tblPrEx>
          <w:tblCellMar>
            <w:top w:w="0" w:type="dxa"/>
            <w:bottom w:w="0" w:type="dxa"/>
          </w:tblCellMar>
        </w:tblPrEx>
        <w:trPr>
          <w:cantSplit/>
        </w:trPr>
        <w:tc>
          <w:tcPr>
            <w:tcW w:w="2023" w:type="pct"/>
          </w:tcPr>
          <w:p w:rsidR="00826DC3" w:rsidRDefault="00826DC3" w:rsidP="008B209B">
            <w:pPr>
              <w:pStyle w:val="TitlePagetext"/>
            </w:pPr>
            <w:r>
              <w:t>Nature of Application</w:t>
            </w:r>
          </w:p>
        </w:tc>
        <w:tc>
          <w:tcPr>
            <w:tcW w:w="2977" w:type="pct"/>
          </w:tcPr>
          <w:p w:rsidR="00826DC3" w:rsidRDefault="001A1490" w:rsidP="008B209B">
            <w:pPr>
              <w:pStyle w:val="TitlePagetext"/>
            </w:pPr>
            <w:r>
              <w:t>Application under section 77 Planning and Environment Act 1987 to review the decision of the Responsible Authority to refuse a permit to vary a restrictive covenant.</w:t>
            </w:r>
          </w:p>
        </w:tc>
      </w:tr>
      <w:tr w:rsidR="00826DC3" w:rsidTr="00FF4C6B">
        <w:tblPrEx>
          <w:tblCellMar>
            <w:top w:w="0" w:type="dxa"/>
            <w:bottom w:w="0" w:type="dxa"/>
          </w:tblCellMar>
        </w:tblPrEx>
        <w:trPr>
          <w:cantSplit/>
        </w:trPr>
        <w:tc>
          <w:tcPr>
            <w:tcW w:w="2023" w:type="pct"/>
          </w:tcPr>
          <w:p w:rsidR="00826DC3" w:rsidRDefault="00826DC3" w:rsidP="008B209B">
            <w:pPr>
              <w:pStyle w:val="TitlePagetext"/>
            </w:pPr>
            <w:r>
              <w:t>Zone and Overlays</w:t>
            </w:r>
          </w:p>
        </w:tc>
        <w:tc>
          <w:tcPr>
            <w:tcW w:w="2977" w:type="pct"/>
          </w:tcPr>
          <w:p w:rsidR="00826DC3" w:rsidRDefault="00843E0E" w:rsidP="008B209B">
            <w:pPr>
              <w:pStyle w:val="TitlePagetext"/>
            </w:pPr>
            <w:r>
              <w:t>Residential 1 Z</w:t>
            </w:r>
            <w:r w:rsidR="001A1490">
              <w:t xml:space="preserve">one and Development Contributions Plan </w:t>
            </w:r>
            <w:r>
              <w:t>O</w:t>
            </w:r>
            <w:r w:rsidR="001A1490">
              <w:t>verlay</w:t>
            </w:r>
          </w:p>
        </w:tc>
      </w:tr>
      <w:tr w:rsidR="00826DC3" w:rsidTr="00FF4C6B">
        <w:tblPrEx>
          <w:tblCellMar>
            <w:top w:w="0" w:type="dxa"/>
            <w:bottom w:w="0" w:type="dxa"/>
          </w:tblCellMar>
        </w:tblPrEx>
        <w:trPr>
          <w:cantSplit/>
        </w:trPr>
        <w:tc>
          <w:tcPr>
            <w:tcW w:w="2023" w:type="pct"/>
          </w:tcPr>
          <w:p w:rsidR="00826DC3" w:rsidRDefault="00826DC3" w:rsidP="008B209B">
            <w:pPr>
              <w:pStyle w:val="TitlePagetext"/>
            </w:pPr>
            <w:r>
              <w:t>Reason(s) Permit Required</w:t>
            </w:r>
          </w:p>
        </w:tc>
        <w:tc>
          <w:tcPr>
            <w:tcW w:w="2977" w:type="pct"/>
          </w:tcPr>
          <w:p w:rsidR="00826DC3" w:rsidRDefault="001A1490" w:rsidP="008B209B">
            <w:pPr>
              <w:pStyle w:val="TitlePagetext"/>
            </w:pPr>
            <w:r>
              <w:t xml:space="preserve">Clause 52.02 Darebin </w:t>
            </w:r>
            <w:r w:rsidR="00843E0E">
              <w:t>P</w:t>
            </w:r>
            <w:r>
              <w:t xml:space="preserve">lanning </w:t>
            </w:r>
            <w:r w:rsidR="00843E0E">
              <w:t>S</w:t>
            </w:r>
            <w:r>
              <w:t>cheme</w:t>
            </w:r>
          </w:p>
        </w:tc>
      </w:tr>
      <w:tr w:rsidR="00826DC3" w:rsidTr="00FF4C6B">
        <w:tblPrEx>
          <w:tblCellMar>
            <w:top w:w="0" w:type="dxa"/>
            <w:bottom w:w="0" w:type="dxa"/>
          </w:tblCellMar>
        </w:tblPrEx>
        <w:trPr>
          <w:cantSplit/>
        </w:trPr>
        <w:tc>
          <w:tcPr>
            <w:tcW w:w="2023" w:type="pct"/>
          </w:tcPr>
          <w:p w:rsidR="00826DC3" w:rsidRDefault="00826DC3" w:rsidP="008B209B">
            <w:pPr>
              <w:pStyle w:val="TitlePagetext"/>
            </w:pPr>
            <w:r>
              <w:t>Land description</w:t>
            </w:r>
          </w:p>
        </w:tc>
        <w:tc>
          <w:tcPr>
            <w:tcW w:w="2977" w:type="pct"/>
          </w:tcPr>
          <w:p w:rsidR="00826DC3" w:rsidRDefault="001A1490" w:rsidP="008B209B">
            <w:pPr>
              <w:pStyle w:val="TitlePagetext"/>
            </w:pPr>
            <w:r>
              <w:t>Located on north side of Maclagan Crescent the land has an area of approximately 985 square metres and is occu</w:t>
            </w:r>
            <w:r w:rsidR="00113336">
              <w:t xml:space="preserve"> </w:t>
            </w:r>
            <w:r>
              <w:t>pied by a single storey detached brick dwelling.</w:t>
            </w:r>
          </w:p>
        </w:tc>
      </w:tr>
      <w:tr w:rsidR="00843E0E" w:rsidTr="00FF4C6B">
        <w:tblPrEx>
          <w:tblCellMar>
            <w:top w:w="0" w:type="dxa"/>
            <w:bottom w:w="0" w:type="dxa"/>
          </w:tblCellMar>
        </w:tblPrEx>
        <w:trPr>
          <w:cantSplit/>
        </w:trPr>
        <w:tc>
          <w:tcPr>
            <w:tcW w:w="2023" w:type="pct"/>
          </w:tcPr>
          <w:p w:rsidR="00843E0E" w:rsidRDefault="00843E0E" w:rsidP="008B209B">
            <w:pPr>
              <w:pStyle w:val="TitlePagetext"/>
            </w:pPr>
            <w:r>
              <w:t>Neighbourhood context</w:t>
            </w:r>
          </w:p>
        </w:tc>
        <w:tc>
          <w:tcPr>
            <w:tcW w:w="2977" w:type="pct"/>
          </w:tcPr>
          <w:p w:rsidR="00843E0E" w:rsidRDefault="00843E0E" w:rsidP="008B209B">
            <w:pPr>
              <w:pStyle w:val="TitlePagetext"/>
            </w:pPr>
            <w:r>
              <w:t>The area is fully developed predominantly with detached houses.</w:t>
            </w:r>
            <w:r w:rsidR="00113336">
              <w:t xml:space="preserve"> </w:t>
            </w:r>
            <w:r>
              <w:t xml:space="preserve">There is some multi-dwelling development including a four unit development at </w:t>
            </w:r>
            <w:smartTag w:uri="urn:schemas-microsoft-com:office:smarttags" w:element="address">
              <w:smartTag w:uri="urn:schemas-microsoft-com:office:smarttags" w:element="Street">
                <w:r>
                  <w:t>No. 28 Maclagan Crescent</w:t>
                </w:r>
              </w:smartTag>
            </w:smartTag>
            <w:r>
              <w:t>.</w:t>
            </w:r>
          </w:p>
        </w:tc>
      </w:tr>
    </w:tbl>
    <w:p w:rsidR="00003458" w:rsidRDefault="00003458" w:rsidP="008B209B"/>
    <w:p w:rsidR="00854ADA" w:rsidRDefault="00826DC3" w:rsidP="008B209B">
      <w:r>
        <w:br w:type="page"/>
      </w:r>
    </w:p>
    <w:p w:rsidR="00854ADA" w:rsidRDefault="00854ADA" w:rsidP="008B209B">
      <w:pPr>
        <w:pStyle w:val="Heading3"/>
        <w:jc w:val="center"/>
      </w:pPr>
      <w:r>
        <w:t>REASONS</w:t>
      </w:r>
    </w:p>
    <w:p w:rsidR="000500BB" w:rsidRDefault="001A1490" w:rsidP="008B209B">
      <w:pPr>
        <w:pStyle w:val="Heading3"/>
      </w:pPr>
      <w:r>
        <w:t>What is this proceeding about?</w:t>
      </w:r>
    </w:p>
    <w:p w:rsidR="001A1490" w:rsidRDefault="001A1490" w:rsidP="008B209B">
      <w:pPr>
        <w:pStyle w:val="Para1"/>
        <w:spacing w:line="240" w:lineRule="auto"/>
      </w:pPr>
      <w:r>
        <w:t xml:space="preserve">This is an application by Peter Giosis to review the decision of the Darebin City Council to refuse a permit to vary a restrictive covenant which burdens land at </w:t>
      </w:r>
      <w:smartTag w:uri="urn:schemas-microsoft-com:office:smarttags" w:element="address">
        <w:smartTag w:uri="urn:schemas-microsoft-com:office:smarttags" w:element="Street">
          <w:r>
            <w:t>26 Maclagan Crescent</w:t>
          </w:r>
        </w:smartTag>
      </w:smartTag>
      <w:r>
        <w:t>, Reservoir.</w:t>
      </w:r>
    </w:p>
    <w:p w:rsidR="001A1490" w:rsidRDefault="001A1490" w:rsidP="008B209B">
      <w:pPr>
        <w:pStyle w:val="Para1"/>
        <w:spacing w:line="240" w:lineRule="auto"/>
      </w:pPr>
      <w:r>
        <w:t xml:space="preserve">The part of the covenant which </w:t>
      </w:r>
      <w:r w:rsidR="00843E0E">
        <w:t xml:space="preserve">it </w:t>
      </w:r>
      <w:r>
        <w:t>is sought to vary provides as follows.</w:t>
      </w:r>
    </w:p>
    <w:p w:rsidR="001A1490" w:rsidRDefault="001A1490" w:rsidP="008B209B">
      <w:pPr>
        <w:pStyle w:val="Para1"/>
        <w:numPr>
          <w:ilvl w:val="0"/>
          <w:numId w:val="0"/>
        </w:numPr>
        <w:spacing w:line="240" w:lineRule="auto"/>
        <w:ind w:left="1136" w:hanging="569"/>
      </w:pPr>
      <w:r>
        <w:t>(c)</w:t>
      </w:r>
      <w:r>
        <w:tab/>
        <w:t xml:space="preserve">no shops, laundries, factories or works shall be erected on this Lot and not more than one dwelling house shall be erected on any one Lot and the cost of constructing each house shall not be less than </w:t>
      </w:r>
      <w:r w:rsidR="00843E0E">
        <w:t xml:space="preserve">Four Hundred Pounds </w:t>
      </w:r>
      <w:r>
        <w:t>(inclusive of all architect’s fees and the cost of erecting any outbuildings and fences).</w:t>
      </w:r>
    </w:p>
    <w:p w:rsidR="001A1490" w:rsidRDefault="001A1490" w:rsidP="008B209B">
      <w:pPr>
        <w:pStyle w:val="Para1"/>
        <w:spacing w:line="240" w:lineRule="auto"/>
      </w:pPr>
      <w:r>
        <w:t xml:space="preserve">The </w:t>
      </w:r>
      <w:r w:rsidR="007457EA">
        <w:t>variation</w:t>
      </w:r>
      <w:r>
        <w:t xml:space="preserve"> seeks to replace the words “one dwelling house” with the words “three dwellings”.</w:t>
      </w:r>
      <w:r w:rsidR="00113336">
        <w:t xml:space="preserve"> </w:t>
      </w:r>
      <w:r>
        <w:t>This would enable application to be made to redevelop the land for three units or dwellings.</w:t>
      </w:r>
    </w:p>
    <w:p w:rsidR="001A1490" w:rsidRDefault="001A1490" w:rsidP="008B209B">
      <w:pPr>
        <w:pStyle w:val="Heading3"/>
      </w:pPr>
      <w:r>
        <w:t>Background</w:t>
      </w:r>
    </w:p>
    <w:p w:rsidR="001A1490" w:rsidRDefault="001A1490" w:rsidP="008B209B">
      <w:pPr>
        <w:pStyle w:val="Para1"/>
        <w:spacing w:line="240" w:lineRule="auto"/>
      </w:pPr>
      <w:r>
        <w:t xml:space="preserve">Five objections were received by the Responsible Authority </w:t>
      </w:r>
      <w:r w:rsidR="007457EA">
        <w:t>of</w:t>
      </w:r>
      <w:r>
        <w:t xml:space="preserve"> which three were from persons </w:t>
      </w:r>
      <w:r w:rsidR="007457EA">
        <w:t xml:space="preserve">owning </w:t>
      </w:r>
      <w:r>
        <w:t>land which is entitled to the benefit of the covenant.</w:t>
      </w:r>
      <w:r w:rsidR="00113336">
        <w:t xml:space="preserve"> </w:t>
      </w:r>
      <w:r>
        <w:t>The properties owned by these three beneficiaries are located as follows.</w:t>
      </w:r>
    </w:p>
    <w:p w:rsidR="001A1490" w:rsidRDefault="001A1490" w:rsidP="008B209B">
      <w:pPr>
        <w:pStyle w:val="Para1"/>
        <w:numPr>
          <w:ilvl w:val="0"/>
          <w:numId w:val="0"/>
        </w:numPr>
        <w:spacing w:line="240" w:lineRule="auto"/>
        <w:ind w:left="567"/>
      </w:pPr>
      <w:r>
        <w:t xml:space="preserve">1A </w:t>
      </w:r>
      <w:smartTag w:uri="urn:schemas-microsoft-com:office:smarttags" w:element="address">
        <w:smartTag w:uri="urn:schemas-microsoft-com:office:smarttags" w:element="Street">
          <w:r>
            <w:t>Maclagan Crescent</w:t>
          </w:r>
        </w:smartTag>
      </w:smartTag>
    </w:p>
    <w:p w:rsidR="001A1490" w:rsidRDefault="001A1490" w:rsidP="008B209B">
      <w:pPr>
        <w:pStyle w:val="Para1"/>
        <w:numPr>
          <w:ilvl w:val="0"/>
          <w:numId w:val="0"/>
        </w:numPr>
        <w:spacing w:line="240" w:lineRule="auto"/>
        <w:ind w:left="567"/>
      </w:pPr>
      <w:smartTag w:uri="urn:schemas-microsoft-com:office:smarttags" w:element="address">
        <w:smartTag w:uri="urn:schemas-microsoft-com:office:smarttags" w:element="Street">
          <w:r>
            <w:t>23 Gellibrand Crescent</w:t>
          </w:r>
        </w:smartTag>
      </w:smartTag>
    </w:p>
    <w:p w:rsidR="001A1490" w:rsidRDefault="001A1490" w:rsidP="008B209B">
      <w:pPr>
        <w:pStyle w:val="Para1"/>
        <w:numPr>
          <w:ilvl w:val="0"/>
          <w:numId w:val="0"/>
        </w:numPr>
        <w:spacing w:line="240" w:lineRule="auto"/>
        <w:ind w:left="567"/>
      </w:pPr>
      <w:smartTag w:uri="urn:schemas-microsoft-com:office:smarttags" w:element="address">
        <w:smartTag w:uri="urn:schemas-microsoft-com:office:smarttags" w:element="Street">
          <w:r>
            <w:t>1/15 Hobbs Crescent</w:t>
          </w:r>
        </w:smartTag>
      </w:smartTag>
    </w:p>
    <w:p w:rsidR="001A1490" w:rsidRDefault="001A1490" w:rsidP="008B209B">
      <w:pPr>
        <w:pStyle w:val="Para1"/>
        <w:spacing w:line="240" w:lineRule="auto"/>
      </w:pPr>
      <w:r>
        <w:t>Each of these properties is located some distance from the subject land (at least 100 metres).</w:t>
      </w:r>
    </w:p>
    <w:p w:rsidR="001A1490" w:rsidRDefault="001A1490" w:rsidP="008B209B">
      <w:pPr>
        <w:pStyle w:val="Para1"/>
        <w:spacing w:line="240" w:lineRule="auto"/>
      </w:pPr>
      <w:r>
        <w:t>The application was refused by the Responsible Authority on the following ground.</w:t>
      </w:r>
    </w:p>
    <w:p w:rsidR="001A1490" w:rsidRDefault="001A1490" w:rsidP="008B209B">
      <w:pPr>
        <w:pStyle w:val="Para1"/>
        <w:numPr>
          <w:ilvl w:val="0"/>
          <w:numId w:val="0"/>
        </w:numPr>
        <w:spacing w:line="240" w:lineRule="auto"/>
        <w:ind w:left="1136"/>
      </w:pPr>
      <w:r>
        <w:t>The proposed variation to the Covenant contained in Instrument Number 1340550 on the Certificate of Title of 26 Maclagan Crescent, Reservoir (Lot 278 on LP8486, Certificate of Title Vol 5330 Folio 937) to allow not more than three dwellings to be constructed on the lot will result in detriment to beneficiaries and is therefore contrary to Section 60(5) of the Planning and Environment Act 1987.</w:t>
      </w:r>
    </w:p>
    <w:p w:rsidR="001A1490" w:rsidRDefault="001A1490" w:rsidP="008B209B">
      <w:pPr>
        <w:pStyle w:val="Heading3"/>
      </w:pPr>
      <w:r>
        <w:t>Statutory Framework</w:t>
      </w:r>
    </w:p>
    <w:p w:rsidR="001A1490" w:rsidRDefault="001A1490" w:rsidP="008B209B">
      <w:pPr>
        <w:pStyle w:val="Para1"/>
        <w:spacing w:line="240" w:lineRule="auto"/>
      </w:pPr>
      <w:r>
        <w:t>The covenant was imposed in 1927.</w:t>
      </w:r>
      <w:r w:rsidR="00113336">
        <w:t xml:space="preserve"> </w:t>
      </w:r>
      <w:r>
        <w:t xml:space="preserve">This means that the relevant statutory provision is </w:t>
      </w:r>
      <w:r w:rsidR="007457EA">
        <w:t>S</w:t>
      </w:r>
      <w:r>
        <w:t>ection 6</w:t>
      </w:r>
      <w:r w:rsidR="007457EA">
        <w:t>0(</w:t>
      </w:r>
      <w:r>
        <w:t>5</w:t>
      </w:r>
      <w:r w:rsidR="007457EA">
        <w:t>)</w:t>
      </w:r>
      <w:r>
        <w:t xml:space="preserve"> Planning and Environment Act 1987 (the Act).</w:t>
      </w:r>
      <w:r w:rsidR="00113336">
        <w:t xml:space="preserve"> </w:t>
      </w:r>
      <w:r>
        <w:t>This subsection provides as follows.</w:t>
      </w:r>
    </w:p>
    <w:p w:rsidR="001A1490" w:rsidRDefault="001A1490" w:rsidP="008B209B">
      <w:pPr>
        <w:pStyle w:val="Para1"/>
        <w:numPr>
          <w:ilvl w:val="0"/>
          <w:numId w:val="0"/>
        </w:numPr>
        <w:spacing w:line="240" w:lineRule="auto"/>
        <w:ind w:left="1136" w:hanging="569"/>
      </w:pPr>
      <w:r>
        <w:lastRenderedPageBreak/>
        <w:t>(5)</w:t>
      </w:r>
      <w:r>
        <w:tab/>
        <w:t xml:space="preserve">The </w:t>
      </w:r>
      <w:r w:rsidR="007457EA">
        <w:t>r</w:t>
      </w:r>
      <w:r>
        <w:t xml:space="preserve">esponsible </w:t>
      </w:r>
      <w:r w:rsidR="007457EA">
        <w:t>a</w:t>
      </w:r>
      <w:r>
        <w:t>uthority must not grant a permit which allows the removal or variation of a restriction referred to in subsection (4) unless it is satisfied that –</w:t>
      </w:r>
    </w:p>
    <w:p w:rsidR="001A1490" w:rsidRDefault="001A1490" w:rsidP="008B209B">
      <w:pPr>
        <w:pStyle w:val="Para1"/>
        <w:numPr>
          <w:ilvl w:val="0"/>
          <w:numId w:val="0"/>
        </w:numPr>
        <w:spacing w:line="240" w:lineRule="auto"/>
        <w:ind w:left="1704" w:hanging="568"/>
      </w:pPr>
      <w:r>
        <w:t>(a)</w:t>
      </w:r>
      <w:r>
        <w:tab/>
        <w:t xml:space="preserve">the owner of any land benefitted by the restriction (other than a owner who, before or after the making of the application for the permit but not more than three months before its making, has consented in writing to the grant of a permit) will be unlikely to suffer any detriment of any kind (including any perceived detriment) as a consequence of the removal or variation of the restriction; and </w:t>
      </w:r>
    </w:p>
    <w:p w:rsidR="001A1490" w:rsidRDefault="001A1490" w:rsidP="008B209B">
      <w:pPr>
        <w:pStyle w:val="Para1"/>
        <w:numPr>
          <w:ilvl w:val="0"/>
          <w:numId w:val="0"/>
        </w:numPr>
        <w:spacing w:line="240" w:lineRule="auto"/>
        <w:ind w:left="1704" w:hanging="568"/>
      </w:pPr>
      <w:r>
        <w:t>(b)</w:t>
      </w:r>
      <w:r>
        <w:tab/>
        <w:t>if that owner has objected to the grant of the permit, the objection is vexatious or not made in good faith.</w:t>
      </w:r>
    </w:p>
    <w:p w:rsidR="001A1490" w:rsidRDefault="001A1490" w:rsidP="008B209B">
      <w:pPr>
        <w:pStyle w:val="Para1"/>
        <w:spacing w:line="240" w:lineRule="auto"/>
      </w:pPr>
      <w:r>
        <w:t xml:space="preserve">The effect of the enactment of this provision in 1993 was to </w:t>
      </w:r>
      <w:r w:rsidR="007457EA">
        <w:t>curtail</w:t>
      </w:r>
      <w:r>
        <w:t xml:space="preserve"> the previously unfetted power of a </w:t>
      </w:r>
      <w:r w:rsidR="007457EA">
        <w:t>r</w:t>
      </w:r>
      <w:r>
        <w:t xml:space="preserve">esponsible </w:t>
      </w:r>
      <w:r w:rsidR="007457EA">
        <w:t>a</w:t>
      </w:r>
      <w:r>
        <w:t>uthority to remove or vary a restrictive covenant having regard to the planning merits of the case.</w:t>
      </w:r>
      <w:r w:rsidR="00113336">
        <w:t xml:space="preserve"> </w:t>
      </w:r>
      <w:r>
        <w:t xml:space="preserve">The new provision recognised that the benefit of a restrictive covenant is a proprietary right that should not be </w:t>
      </w:r>
      <w:r w:rsidR="007457EA">
        <w:t>lightly</w:t>
      </w:r>
      <w:r>
        <w:t xml:space="preserve"> removed or interfered with.</w:t>
      </w:r>
      <w:r w:rsidR="00113336">
        <w:t xml:space="preserve"> </w:t>
      </w:r>
      <w:r>
        <w:t>The Ministers second reading speech introducing subsection (5) explained it as follows.</w:t>
      </w:r>
    </w:p>
    <w:p w:rsidR="001A1490" w:rsidRDefault="001A1490" w:rsidP="008B209B">
      <w:pPr>
        <w:pStyle w:val="Para1"/>
        <w:numPr>
          <w:ilvl w:val="0"/>
          <w:numId w:val="0"/>
        </w:numPr>
        <w:spacing w:line="240" w:lineRule="auto"/>
        <w:ind w:left="1136"/>
      </w:pPr>
      <w:r>
        <w:t>The effect of the clause is that permits should be granted only for “dead wood” covenan</w:t>
      </w:r>
      <w:r w:rsidR="007457EA">
        <w:t>ts</w:t>
      </w:r>
      <w:r>
        <w:t xml:space="preserve"> if no owner benefitting from the covenant objects to its removal or variation.</w:t>
      </w:r>
      <w:r w:rsidR="00113336">
        <w:t xml:space="preserve"> </w:t>
      </w:r>
      <w:r>
        <w:t>The alterative avenues to remove or vary a covenant remain in place, being applications to the Supreme Court under the Property Law Act 1958 and the preparation of a planning scheme amendment.</w:t>
      </w:r>
    </w:p>
    <w:p w:rsidR="001A1490" w:rsidRDefault="001A1490" w:rsidP="008B209B">
      <w:pPr>
        <w:pStyle w:val="Para1"/>
        <w:spacing w:line="240" w:lineRule="auto"/>
      </w:pPr>
      <w:r>
        <w:t>A “dead wood” covenant is one that no longer serves any useful purpose.</w:t>
      </w:r>
    </w:p>
    <w:p w:rsidR="001A1490" w:rsidRDefault="001A1490" w:rsidP="008B209B">
      <w:pPr>
        <w:pStyle w:val="Para1"/>
        <w:spacing w:line="240" w:lineRule="auto"/>
      </w:pPr>
      <w:r>
        <w:t xml:space="preserve">Under clause 52.02 of the Darebin </w:t>
      </w:r>
      <w:r w:rsidR="007457EA">
        <w:t>P</w:t>
      </w:r>
      <w:r>
        <w:t xml:space="preserve">lanning </w:t>
      </w:r>
      <w:r w:rsidR="007457EA">
        <w:t>S</w:t>
      </w:r>
      <w:r>
        <w:t>cheme a permit is required before application can be made under the Subdivision Act 1988 to vary a restrictive covenant.</w:t>
      </w:r>
      <w:r w:rsidR="00113336">
        <w:t xml:space="preserve"> </w:t>
      </w:r>
      <w:r>
        <w:t>The two objectors who d</w:t>
      </w:r>
      <w:r w:rsidR="007457EA">
        <w:t>o</w:t>
      </w:r>
      <w:r>
        <w:t xml:space="preserve"> not have the benefit of the covenant are entitled to pursue their opposition because there is a discretion under clause 52.02 to refuse the application even if section 6</w:t>
      </w:r>
      <w:r w:rsidR="007457EA">
        <w:t>0(</w:t>
      </w:r>
      <w:r>
        <w:t>5) of the Act can be satisfied by the permit applicant (</w:t>
      </w:r>
      <w:r w:rsidR="007457EA">
        <w:t>see</w:t>
      </w:r>
      <w:r>
        <w:rPr>
          <w:i/>
        </w:rPr>
        <w:t xml:space="preserve"> Hill v Campaspe Shire Council </w:t>
      </w:r>
      <w:r w:rsidRPr="00314BF4">
        <w:t>(2011) VCAT 949)</w:t>
      </w:r>
      <w:r>
        <w:t>.</w:t>
      </w:r>
    </w:p>
    <w:p w:rsidR="001A1490" w:rsidRDefault="001A1490" w:rsidP="008B209B">
      <w:pPr>
        <w:pStyle w:val="Heading3"/>
      </w:pPr>
      <w:r>
        <w:t xml:space="preserve">The </w:t>
      </w:r>
      <w:r w:rsidR="00CA4F16">
        <w:t>I</w:t>
      </w:r>
      <w:r>
        <w:t>ssues</w:t>
      </w:r>
    </w:p>
    <w:p w:rsidR="001A1490" w:rsidRDefault="001A1490" w:rsidP="008B209B">
      <w:pPr>
        <w:pStyle w:val="Para1"/>
        <w:spacing w:line="240" w:lineRule="auto"/>
      </w:pPr>
      <w:r>
        <w:t>The issues which fall for determination are therefore as follows.</w:t>
      </w:r>
    </w:p>
    <w:p w:rsidR="001A1490" w:rsidRDefault="007457EA" w:rsidP="008B209B">
      <w:pPr>
        <w:pStyle w:val="Para5"/>
        <w:spacing w:line="240" w:lineRule="auto"/>
      </w:pPr>
      <w:r>
        <w:t>C</w:t>
      </w:r>
      <w:r w:rsidR="00746370">
        <w:t>an it be said that the owner of any land benefited by the covenant will be unlikely to suffer any detriment of any kind, including perceived detriment, as a consequence of the proposed variation of the covenant.</w:t>
      </w:r>
    </w:p>
    <w:p w:rsidR="00746370" w:rsidRDefault="00746370" w:rsidP="008B209B">
      <w:pPr>
        <w:pStyle w:val="Para5"/>
        <w:spacing w:line="240" w:lineRule="auto"/>
      </w:pPr>
      <w:r>
        <w:t xml:space="preserve">Are the objections </w:t>
      </w:r>
      <w:r w:rsidR="007457EA">
        <w:t>by the</w:t>
      </w:r>
      <w:r>
        <w:t xml:space="preserve"> beneficiaries of the covenant vexatious or not made in good faith.</w:t>
      </w:r>
    </w:p>
    <w:p w:rsidR="00746370" w:rsidRDefault="00746370" w:rsidP="008B209B">
      <w:pPr>
        <w:pStyle w:val="Para5"/>
        <w:spacing w:line="240" w:lineRule="auto"/>
      </w:pPr>
      <w:r>
        <w:lastRenderedPageBreak/>
        <w:t>If the first two questions are answered in the affirmative, should a permit be granted in the exercise of discretion.</w:t>
      </w:r>
    </w:p>
    <w:p w:rsidR="001A1490" w:rsidRDefault="00746370" w:rsidP="008B209B">
      <w:pPr>
        <w:pStyle w:val="Heading3"/>
      </w:pPr>
      <w:r>
        <w:t>S</w:t>
      </w:r>
      <w:r w:rsidR="00C77375">
        <w:t>ection 60(5) Planning and Environment Act 1987</w:t>
      </w:r>
    </w:p>
    <w:p w:rsidR="00746370" w:rsidRDefault="00C77375" w:rsidP="008B209B">
      <w:pPr>
        <w:pStyle w:val="Para1"/>
        <w:spacing w:line="240" w:lineRule="auto"/>
      </w:pPr>
      <w:r>
        <w:t>A number of decisions of the Tribunal have referred to the “extraordinarily high” bar set by the subsection (</w:t>
      </w:r>
      <w:r>
        <w:rPr>
          <w:i/>
        </w:rPr>
        <w:t xml:space="preserve">McFarlane v City of </w:t>
      </w:r>
      <w:smartTag w:uri="urn:schemas-microsoft-com:office:smarttags" w:element="City">
        <w:r>
          <w:rPr>
            <w:i/>
          </w:rPr>
          <w:t>Greater Dandenong</w:t>
        </w:r>
      </w:smartTag>
      <w:r>
        <w:rPr>
          <w:i/>
        </w:rPr>
        <w:t xml:space="preserve"> </w:t>
      </w:r>
      <w:r w:rsidRPr="00314BF4">
        <w:t>(2002</w:t>
      </w:r>
      <w:r w:rsidR="00CA4F16" w:rsidRPr="00314BF4">
        <w:t>)</w:t>
      </w:r>
      <w:r w:rsidRPr="00314BF4">
        <w:t xml:space="preserve"> VCAT 696</w:t>
      </w:r>
      <w:r>
        <w:rPr>
          <w:i/>
        </w:rPr>
        <w:t xml:space="preserve">, Trajkovski v </w:t>
      </w:r>
      <w:smartTag w:uri="urn:schemas-microsoft-com:office:smarttags" w:element="PlaceName">
        <w:r>
          <w:rPr>
            <w:i/>
          </w:rPr>
          <w:t>Wyndham</w:t>
        </w:r>
      </w:smartTag>
      <w:r>
        <w:rPr>
          <w:i/>
        </w:rPr>
        <w:t xml:space="preserve"> </w:t>
      </w:r>
      <w:smartTag w:uri="urn:schemas-microsoft-com:office:smarttags" w:element="PlaceType">
        <w:r>
          <w:rPr>
            <w:i/>
          </w:rPr>
          <w:t>City</w:t>
        </w:r>
      </w:smartTag>
      <w:r>
        <w:rPr>
          <w:i/>
        </w:rPr>
        <w:t xml:space="preserve"> Council</w:t>
      </w:r>
      <w:r w:rsidRPr="00314BF4">
        <w:t xml:space="preserve"> (2009) VCAT 1231</w:t>
      </w:r>
      <w:r>
        <w:rPr>
          <w:i/>
        </w:rPr>
        <w:t xml:space="preserve">, Vivarini v </w:t>
      </w:r>
      <w:smartTag w:uri="urn:schemas-microsoft-com:office:smarttags" w:element="PlaceName">
        <w:smartTag w:uri="urn:schemas-microsoft-com:office:smarttags" w:element="place">
          <w:r>
            <w:rPr>
              <w:i/>
            </w:rPr>
            <w:t>Whittlesea</w:t>
          </w:r>
        </w:smartTag>
        <w:r>
          <w:rPr>
            <w:i/>
          </w:rPr>
          <w:t xml:space="preserve"> </w:t>
        </w:r>
        <w:smartTag w:uri="urn:schemas-microsoft-com:office:smarttags" w:element="PlaceType">
          <w:r>
            <w:rPr>
              <w:i/>
            </w:rPr>
            <w:t>City</w:t>
          </w:r>
        </w:smartTag>
      </w:smartTag>
      <w:r>
        <w:rPr>
          <w:i/>
        </w:rPr>
        <w:t xml:space="preserve"> Council </w:t>
      </w:r>
      <w:r w:rsidRPr="00314BF4">
        <w:t>(2011) VCAT 217</w:t>
      </w:r>
      <w:r>
        <w:rPr>
          <w:i/>
        </w:rPr>
        <w:t xml:space="preserve"> </w:t>
      </w:r>
      <w:r w:rsidRPr="00CA4F16">
        <w:t>and</w:t>
      </w:r>
      <w:r>
        <w:rPr>
          <w:i/>
        </w:rPr>
        <w:t xml:space="preserve"> Hill v Campaspe Shire Council </w:t>
      </w:r>
      <w:r w:rsidR="00314BF4">
        <w:t>supra).</w:t>
      </w:r>
      <w:r w:rsidR="00113336">
        <w:t xml:space="preserve"> </w:t>
      </w:r>
      <w:r w:rsidR="00E71789">
        <w:t>In fact, the difference between the bars set by section 60(5) and the conventional planning test which requires a balancing of competing interests is akin to the difference between the high jump and the pole vault.</w:t>
      </w:r>
    </w:p>
    <w:p w:rsidR="00CA4F16" w:rsidRDefault="00CA4F16" w:rsidP="008B209B">
      <w:pPr>
        <w:pStyle w:val="Para1"/>
        <w:spacing w:line="240" w:lineRule="auto"/>
      </w:pPr>
      <w:r>
        <w:t>The two paragraphs of the subsection are directed to quite different considerations.</w:t>
      </w:r>
      <w:r w:rsidR="00113336">
        <w:t xml:space="preserve"> </w:t>
      </w:r>
      <w:r>
        <w:t>Paragraph (a) is concerned with the planning merits of the application which must be considered in order to determine whether it is unlikely that detriment will be suffered.</w:t>
      </w:r>
      <w:r w:rsidR="00113336">
        <w:t xml:space="preserve"> </w:t>
      </w:r>
      <w:r>
        <w:t>On the other hand paragraph (b) is concerned with the motives of the objector rather than the substance or cogency of the objection.</w:t>
      </w:r>
      <w:r w:rsidR="00113336">
        <w:t xml:space="preserve"> </w:t>
      </w:r>
      <w:r>
        <w:t>It is convenient to deal with each paragraph in turn.</w:t>
      </w:r>
    </w:p>
    <w:p w:rsidR="00C77375" w:rsidRDefault="00C77375" w:rsidP="008B209B">
      <w:pPr>
        <w:pStyle w:val="Heading3"/>
      </w:pPr>
      <w:r>
        <w:t>Subsection 5(a)</w:t>
      </w:r>
    </w:p>
    <w:p w:rsidR="00E71789" w:rsidRDefault="00E71789" w:rsidP="008B209B">
      <w:pPr>
        <w:pStyle w:val="Para1"/>
        <w:spacing w:line="240" w:lineRule="auto"/>
      </w:pPr>
      <w:r>
        <w:t xml:space="preserve">Subsection 5(a) was initially considered by the Tribunal in </w:t>
      </w:r>
      <w:r>
        <w:rPr>
          <w:i/>
        </w:rPr>
        <w:t xml:space="preserve">Carabott and Ors v Hume City Council </w:t>
      </w:r>
      <w:r w:rsidRPr="00314BF4">
        <w:t>(1998) 22 AATR 261</w:t>
      </w:r>
      <w:r>
        <w:t>.</w:t>
      </w:r>
      <w:r w:rsidR="00113336">
        <w:t xml:space="preserve"> </w:t>
      </w:r>
      <w:r>
        <w:t xml:space="preserve">A strongly constituted division (Judge Wood, Deputy President Macnamara (as he then was), Senior Member Byard and Member Moles) analysed the provision and came to a number of propositions which were summarised by Judge Strong and Member Cimino in the subsequent decision in </w:t>
      </w:r>
      <w:r>
        <w:rPr>
          <w:i/>
        </w:rPr>
        <w:t>McFarlane v City of Greater Dandenong</w:t>
      </w:r>
      <w:r>
        <w:t>, supra, as follows (at para 15).</w:t>
      </w:r>
    </w:p>
    <w:p w:rsidR="00843E0E" w:rsidRDefault="00843E0E" w:rsidP="008B209B">
      <w:pPr>
        <w:pStyle w:val="Para1"/>
        <w:numPr>
          <w:ilvl w:val="0"/>
          <w:numId w:val="0"/>
        </w:numPr>
        <w:spacing w:line="240" w:lineRule="auto"/>
        <w:ind w:left="1136" w:hanging="568"/>
      </w:pPr>
      <w:r>
        <w:t>1.</w:t>
      </w:r>
      <w:r>
        <w:tab/>
      </w:r>
      <w:r w:rsidRPr="00F86871">
        <w:t xml:space="preserve">It is for the Tribunal to determine whether it is satisfied on the balance of probabilities that any covenant beneficiary "will be unlikely to suffer any detriment of any kind if the variation is permitted." In other words it is not a question of whether the Tribunal is satisfied there will be detriment: the Tribunal must be affirmatively satisfied that there will be none. </w:t>
      </w:r>
    </w:p>
    <w:p w:rsidR="00843E0E" w:rsidRDefault="00843E0E" w:rsidP="008B209B">
      <w:pPr>
        <w:pStyle w:val="Para1"/>
        <w:numPr>
          <w:ilvl w:val="0"/>
          <w:numId w:val="0"/>
        </w:numPr>
        <w:spacing w:line="240" w:lineRule="auto"/>
        <w:ind w:left="1136" w:hanging="568"/>
      </w:pPr>
      <w:r w:rsidRPr="00F86871">
        <w:t>2.</w:t>
      </w:r>
      <w:r>
        <w:tab/>
      </w:r>
      <w:r w:rsidRPr="00F86871">
        <w:t xml:space="preserve">Compliance with planning controls does not, of itself, and without more, establish that a covenant beneficiary will be unlikely to suffer any detriment of any kind. Consideration of a proposal from a planning perspective often requires a balancing of competing interests. There is no such balancing exercise involved in the consideration of the issue which arises under paragraph (a). The nature of the enquiry is fundamentally different. </w:t>
      </w:r>
    </w:p>
    <w:p w:rsidR="00843E0E" w:rsidRDefault="00843E0E" w:rsidP="008B209B">
      <w:pPr>
        <w:pStyle w:val="Para1"/>
        <w:numPr>
          <w:ilvl w:val="0"/>
          <w:numId w:val="0"/>
        </w:numPr>
        <w:spacing w:line="240" w:lineRule="auto"/>
        <w:ind w:left="1136" w:hanging="568"/>
      </w:pPr>
      <w:r w:rsidRPr="00F86871">
        <w:t>3.</w:t>
      </w:r>
      <w:r>
        <w:tab/>
      </w:r>
      <w:r w:rsidRPr="00F86871">
        <w:t xml:space="preserve">The mere assertion of the existence of a detriment is not sufficient to demonstrate its existence. On the other hand, loss of amenity will constitute a detriment, and in this regard amenity includes "an appeal </w:t>
      </w:r>
      <w:r w:rsidRPr="00F86871">
        <w:lastRenderedPageBreak/>
        <w:t xml:space="preserve">to aesthetic judgment, which is difficult to measure, however the notion of `perceived detriment' specifically contemplates that this consideration is relevant to the enquiry". </w:t>
      </w:r>
    </w:p>
    <w:p w:rsidR="00843E0E" w:rsidRDefault="00843E0E" w:rsidP="008B209B">
      <w:pPr>
        <w:pStyle w:val="Para1"/>
        <w:numPr>
          <w:ilvl w:val="0"/>
          <w:numId w:val="0"/>
        </w:numPr>
        <w:spacing w:line="240" w:lineRule="auto"/>
        <w:ind w:left="1136" w:hanging="568"/>
      </w:pPr>
      <w:r w:rsidRPr="00F86871">
        <w:t>4.</w:t>
      </w:r>
      <w:r>
        <w:tab/>
      </w:r>
      <w:r w:rsidRPr="00F86871">
        <w:t xml:space="preserve">The determination must be made on the evidence before the Tribunal "including the appeal site and its environs". </w:t>
      </w:r>
    </w:p>
    <w:p w:rsidR="00843E0E" w:rsidRPr="00F86871" w:rsidRDefault="00843E0E" w:rsidP="008B209B">
      <w:pPr>
        <w:pStyle w:val="Para1"/>
        <w:numPr>
          <w:ilvl w:val="0"/>
          <w:numId w:val="0"/>
        </w:numPr>
        <w:spacing w:line="240" w:lineRule="auto"/>
        <w:ind w:left="1136" w:hanging="568"/>
      </w:pPr>
      <w:r w:rsidRPr="00F86871">
        <w:t>5.</w:t>
      </w:r>
      <w:r>
        <w:tab/>
      </w:r>
      <w:r w:rsidRPr="00F86871">
        <w:t xml:space="preserve">It is not necessary for an affected person to assert detriment. This is so for two reasons: first, because the Tribunal must be affirmatively satisfied of a negative, namely that there will probably be no detriment of any kind; secondly, the Tribunal is entitled to form its own views from the evidence. </w:t>
      </w:r>
    </w:p>
    <w:p w:rsidR="00C77375" w:rsidRDefault="00C77375" w:rsidP="008B209B">
      <w:pPr>
        <w:pStyle w:val="Para1"/>
        <w:spacing w:line="240" w:lineRule="auto"/>
      </w:pPr>
      <w:r>
        <w:t>At the outset it should be noted that the paragraph casts a wide net.</w:t>
      </w:r>
      <w:r w:rsidR="00113336">
        <w:t xml:space="preserve"> </w:t>
      </w:r>
      <w:r>
        <w:t xml:space="preserve">The </w:t>
      </w:r>
      <w:r w:rsidR="00CA4F16">
        <w:t>r</w:t>
      </w:r>
      <w:r>
        <w:t xml:space="preserve">esponsible </w:t>
      </w:r>
      <w:r w:rsidR="00CA4F16">
        <w:t>a</w:t>
      </w:r>
      <w:r>
        <w:t>uthority is required to be satisfied that all owners of any land benefitted by the covenant will not suffer detriment, not just those benefitting owners who have objected to the application for permit.</w:t>
      </w:r>
    </w:p>
    <w:p w:rsidR="00C77375" w:rsidRDefault="00C77375" w:rsidP="008B209B">
      <w:pPr>
        <w:pStyle w:val="Para1"/>
        <w:spacing w:line="240" w:lineRule="auto"/>
      </w:pPr>
      <w:r>
        <w:t xml:space="preserve">It is also necessary </w:t>
      </w:r>
      <w:r w:rsidR="00CA4F16">
        <w:t xml:space="preserve">that any </w:t>
      </w:r>
      <w:r>
        <w:t xml:space="preserve">detriment </w:t>
      </w:r>
      <w:r w:rsidR="00CA4F16">
        <w:t xml:space="preserve">be </w:t>
      </w:r>
      <w:r>
        <w:t xml:space="preserve">a consequence of the variation of </w:t>
      </w:r>
      <w:r w:rsidR="00314BF4">
        <w:t>the</w:t>
      </w:r>
      <w:r>
        <w:t xml:space="preserve"> covenant.</w:t>
      </w:r>
      <w:r w:rsidR="00113336">
        <w:t xml:space="preserve"> </w:t>
      </w:r>
      <w:r>
        <w:t xml:space="preserve">Obviously a consequence of the proposed variation in this case is the probability that the land will be redeveloped for multi-dwelling purposes, so the </w:t>
      </w:r>
      <w:r w:rsidR="00CA4F16">
        <w:t>r</w:t>
      </w:r>
      <w:r>
        <w:t xml:space="preserve">esponsible </w:t>
      </w:r>
      <w:r w:rsidR="00CA4F16">
        <w:t>a</w:t>
      </w:r>
      <w:r>
        <w:t>uthority must assess the possible impacts of that type of development.</w:t>
      </w:r>
    </w:p>
    <w:p w:rsidR="00C77375" w:rsidRDefault="00C77375" w:rsidP="008B209B">
      <w:pPr>
        <w:pStyle w:val="Para1"/>
        <w:spacing w:line="240" w:lineRule="auto"/>
      </w:pPr>
      <w:r>
        <w:t>Unlike many applications for a variation of a restrictive covenant the present applicant has not concurrently sought approval for any particular form of development.</w:t>
      </w:r>
      <w:r w:rsidR="00113336">
        <w:t xml:space="preserve"> </w:t>
      </w:r>
      <w:r>
        <w:t xml:space="preserve">This makes it difficult for the </w:t>
      </w:r>
      <w:r w:rsidR="00CA4F16">
        <w:t>r</w:t>
      </w:r>
      <w:r>
        <w:t xml:space="preserve">esponsible </w:t>
      </w:r>
      <w:r w:rsidR="00CA4F16">
        <w:t>a</w:t>
      </w:r>
      <w:r>
        <w:t>uthority to be satisfied as required by paragraph (a) because it must consider all possible forms of three unit multi-dwelling development and conclude that it is unlikely that any of them would cause detriment to a benefitting owner.</w:t>
      </w:r>
    </w:p>
    <w:p w:rsidR="00C77375" w:rsidRDefault="00C77375" w:rsidP="008B209B">
      <w:pPr>
        <w:pStyle w:val="Para1"/>
        <w:spacing w:line="240" w:lineRule="auto"/>
      </w:pPr>
      <w:r>
        <w:t>In this case the three benefitting owners who have objected are located some distance from the subject land.</w:t>
      </w:r>
      <w:r w:rsidR="00113336">
        <w:t xml:space="preserve"> </w:t>
      </w:r>
      <w:r>
        <w:t>It could cogently be argued, as indeed it was by Mr Watters of Counsel</w:t>
      </w:r>
      <w:r w:rsidR="00CA4F16">
        <w:t>, for the permit applicant</w:t>
      </w:r>
      <w:r>
        <w:t>, that they could suffer no direct physical amenity impacts from any form of multi-dwelling development on the subject land.</w:t>
      </w:r>
      <w:r w:rsidR="00113336">
        <w:t xml:space="preserve"> </w:t>
      </w:r>
      <w:r>
        <w:t>However, paragraph (a) refers to “any detriment of any kind (including perceived detriment).”</w:t>
      </w:r>
      <w:r w:rsidR="00113336">
        <w:t xml:space="preserve"> </w:t>
      </w:r>
      <w:r>
        <w:t>This means that an objection based on a non-physical impact, such as a change in neighbourhood character resulting from further intrusion of unit development into the neighbourhood, cannot be eliminated.</w:t>
      </w:r>
    </w:p>
    <w:p w:rsidR="00E71789" w:rsidRDefault="00E71789" w:rsidP="008B209B">
      <w:pPr>
        <w:pStyle w:val="Para1"/>
        <w:spacing w:line="240" w:lineRule="auto"/>
      </w:pPr>
      <w:r>
        <w:t xml:space="preserve">In the present case the property immediately adjoining the subject land at </w:t>
      </w:r>
      <w:smartTag w:uri="urn:schemas-microsoft-com:office:smarttags" w:element="address">
        <w:smartTag w:uri="urn:schemas-microsoft-com:office:smarttags" w:element="Street">
          <w:r w:rsidR="00314BF4">
            <w:t>N</w:t>
          </w:r>
          <w:r>
            <w:t>o.28 Maclagan Crescent</w:t>
          </w:r>
        </w:smartTag>
      </w:smartTag>
      <w:r>
        <w:t xml:space="preserve"> and four properties more or less opposite the subject land at nos.31, 33, 35 and </w:t>
      </w:r>
      <w:smartTag w:uri="urn:schemas-microsoft-com:office:smarttags" w:element="address">
        <w:smartTag w:uri="urn:schemas-microsoft-com:office:smarttags" w:element="Street">
          <w:r>
            <w:t>37 Maclagan Street</w:t>
          </w:r>
        </w:smartTag>
      </w:smartTag>
      <w:r>
        <w:t xml:space="preserve"> have the benefit of the covenant.</w:t>
      </w:r>
      <w:r w:rsidR="00113336">
        <w:t xml:space="preserve"> </w:t>
      </w:r>
      <w:r>
        <w:t>Two of those properties have themselves been redeveloped with units.</w:t>
      </w:r>
      <w:r w:rsidR="00113336">
        <w:t xml:space="preserve"> </w:t>
      </w:r>
      <w:r>
        <w:t xml:space="preserve">None of the owners of the five properties or </w:t>
      </w:r>
      <w:r w:rsidR="00314BF4">
        <w:t xml:space="preserve">of </w:t>
      </w:r>
      <w:r>
        <w:t>any of the units occupying those properties objected to the grant of the permit.</w:t>
      </w:r>
    </w:p>
    <w:p w:rsidR="00E71789" w:rsidRDefault="00E71789" w:rsidP="008B209B">
      <w:pPr>
        <w:pStyle w:val="Para1"/>
        <w:spacing w:line="240" w:lineRule="auto"/>
      </w:pPr>
      <w:r>
        <w:t xml:space="preserve">It would be difficult for the owners of the unit developments to raise issues of neighbourhood character, and </w:t>
      </w:r>
      <w:r w:rsidR="00314BF4">
        <w:t xml:space="preserve">the </w:t>
      </w:r>
      <w:r>
        <w:t xml:space="preserve">fact that none of the owners have objected can be taken as some acknowledgment that they do not see </w:t>
      </w:r>
      <w:r>
        <w:lastRenderedPageBreak/>
        <w:t xml:space="preserve">themselves as likely to suffer detriment (see </w:t>
      </w:r>
      <w:r>
        <w:rPr>
          <w:i/>
        </w:rPr>
        <w:t xml:space="preserve">Ingberg v Bayside City Council </w:t>
      </w:r>
      <w:r w:rsidR="005C6DD7">
        <w:t>(2000) VC</w:t>
      </w:r>
      <w:r w:rsidRPr="00314BF4">
        <w:t>AT Application no. 2000/24731 at para 67)</w:t>
      </w:r>
      <w:r>
        <w:t>.</w:t>
      </w:r>
    </w:p>
    <w:p w:rsidR="00E71789" w:rsidRDefault="00E71789" w:rsidP="008B209B">
      <w:pPr>
        <w:pStyle w:val="Para1"/>
        <w:spacing w:line="240" w:lineRule="auto"/>
      </w:pPr>
      <w:r>
        <w:t xml:space="preserve">However, in my view that is not </w:t>
      </w:r>
      <w:r w:rsidR="00314BF4">
        <w:t>an</w:t>
      </w:r>
      <w:r>
        <w:t xml:space="preserve"> end of the matter.</w:t>
      </w:r>
      <w:r w:rsidR="00113336">
        <w:t xml:space="preserve"> </w:t>
      </w:r>
      <w:r>
        <w:t xml:space="preserve">As mentioned in </w:t>
      </w:r>
      <w:r>
        <w:rPr>
          <w:i/>
        </w:rPr>
        <w:t>McFarlane</w:t>
      </w:r>
      <w:r>
        <w:t xml:space="preserve"> it is not necessary for an </w:t>
      </w:r>
      <w:r w:rsidR="00314BF4">
        <w:t>a</w:t>
      </w:r>
      <w:r>
        <w:t>ffected person to assert detriment.</w:t>
      </w:r>
      <w:r w:rsidR="00113336">
        <w:t xml:space="preserve"> </w:t>
      </w:r>
      <w:r>
        <w:t>This is because the Tribunal must be positively satisfied of a negative, namely, that there is unlikely to be detriment of any kind.</w:t>
      </w:r>
      <w:r w:rsidR="00113336">
        <w:t xml:space="preserve"> </w:t>
      </w:r>
      <w:r>
        <w:t>In this case in the absence of a firm development proposal</w:t>
      </w:r>
      <w:r w:rsidR="00314BF4">
        <w:t xml:space="preserve"> means that </w:t>
      </w:r>
      <w:r>
        <w:t>there are an infinite number of three unit or three dwelling developments that could take place in consequence of the variation of the covenant.</w:t>
      </w:r>
      <w:r w:rsidR="00113336">
        <w:t xml:space="preserve"> </w:t>
      </w:r>
      <w:r>
        <w:t xml:space="preserve">In my view </w:t>
      </w:r>
      <w:r w:rsidR="00314BF4">
        <w:t xml:space="preserve">it </w:t>
      </w:r>
      <w:r>
        <w:t xml:space="preserve">is simply not possible to say that none of those developments would be likely to have a detrimental impact of some kind on the benefitting properties, particularly the adjoining units at </w:t>
      </w:r>
      <w:smartTag w:uri="urn:schemas-microsoft-com:office:smarttags" w:element="address">
        <w:smartTag w:uri="urn:schemas-microsoft-com:office:smarttags" w:element="Street">
          <w:r>
            <w:t>28 Maclagan Crescent</w:t>
          </w:r>
        </w:smartTag>
      </w:smartTag>
      <w:r>
        <w:t>.</w:t>
      </w:r>
      <w:r w:rsidR="00113336">
        <w:t xml:space="preserve"> </w:t>
      </w:r>
      <w:r>
        <w:t xml:space="preserve">The application for permit </w:t>
      </w:r>
      <w:r w:rsidR="00314BF4">
        <w:t xml:space="preserve">therefore </w:t>
      </w:r>
      <w:r>
        <w:t>falls at the first hurdle.</w:t>
      </w:r>
    </w:p>
    <w:p w:rsidR="004B16E7" w:rsidRDefault="004B16E7" w:rsidP="008B209B">
      <w:pPr>
        <w:pStyle w:val="Heading3"/>
      </w:pPr>
      <w:r>
        <w:t>Paragraph (b)</w:t>
      </w:r>
    </w:p>
    <w:p w:rsidR="004B16E7" w:rsidRDefault="004B16E7" w:rsidP="008B209B">
      <w:pPr>
        <w:pStyle w:val="Para1"/>
        <w:spacing w:line="240" w:lineRule="auto"/>
      </w:pPr>
      <w:r>
        <w:t>Unlike paragraph (a), paragraph (b) is directed to a benefiting owner or owners who have objected, and req</w:t>
      </w:r>
      <w:r w:rsidR="00A270F7">
        <w:t>uires consideration of their motives.</w:t>
      </w:r>
    </w:p>
    <w:p w:rsidR="00A270F7" w:rsidRDefault="00A270F7" w:rsidP="008B209B">
      <w:pPr>
        <w:pStyle w:val="Para1"/>
        <w:spacing w:line="240" w:lineRule="auto"/>
      </w:pPr>
      <w:r>
        <w:t>The meaning of “vexatious” in the context of a person declared to be a vexatious litigant was considered by the Supreme Court (Eam</w:t>
      </w:r>
      <w:r w:rsidR="00314BF4">
        <w:t>e</w:t>
      </w:r>
      <w:r>
        <w:t xml:space="preserve">s J) in </w:t>
      </w:r>
      <w:r>
        <w:rPr>
          <w:i/>
        </w:rPr>
        <w:t xml:space="preserve">Attorney General for the State of </w:t>
      </w:r>
      <w:smartTag w:uri="urn:schemas-microsoft-com:office:smarttags" w:element="place">
        <w:smartTag w:uri="urn:schemas-microsoft-com:office:smarttags" w:element="State">
          <w:r>
            <w:rPr>
              <w:i/>
            </w:rPr>
            <w:t>Victoria</w:t>
          </w:r>
        </w:smartTag>
      </w:smartTag>
      <w:r>
        <w:rPr>
          <w:i/>
        </w:rPr>
        <w:t xml:space="preserve"> v Kay</w:t>
      </w:r>
      <w:r w:rsidRPr="00314BF4">
        <w:t xml:space="preserve"> (1999) VSC 30</w:t>
      </w:r>
      <w:r>
        <w:t>.</w:t>
      </w:r>
      <w:r w:rsidR="00113336">
        <w:t xml:space="preserve"> </w:t>
      </w:r>
      <w:r>
        <w:t xml:space="preserve">His Honour cited what was said in the same context in the </w:t>
      </w:r>
      <w:r w:rsidRPr="00314BF4">
        <w:t>Supreme Court of NSW</w:t>
      </w:r>
      <w:r>
        <w:rPr>
          <w:i/>
        </w:rPr>
        <w:t xml:space="preserve"> </w:t>
      </w:r>
      <w:r w:rsidRPr="00A270F7">
        <w:t>by Roden J</w:t>
      </w:r>
      <w:r>
        <w:t xml:space="preserve"> in </w:t>
      </w:r>
      <w:r>
        <w:rPr>
          <w:i/>
        </w:rPr>
        <w:t>Attorney General v Wentworth</w:t>
      </w:r>
      <w:r>
        <w:t xml:space="preserve"> (1988) 14 NSWLR 481 at 491.</w:t>
      </w:r>
    </w:p>
    <w:p w:rsidR="00A270F7" w:rsidRDefault="00A270F7" w:rsidP="008B209B">
      <w:pPr>
        <w:pStyle w:val="Para1"/>
        <w:numPr>
          <w:ilvl w:val="0"/>
          <w:numId w:val="0"/>
        </w:numPr>
        <w:spacing w:line="240" w:lineRule="auto"/>
        <w:ind w:left="1136"/>
      </w:pPr>
      <w:r>
        <w:t>It seems to me that litigation may properly be regarded as vexatious for present purposes on either objective or subjective grounds.</w:t>
      </w:r>
      <w:r w:rsidR="00113336">
        <w:t xml:space="preserve"> </w:t>
      </w:r>
      <w:r>
        <w:t>I believe that the te</w:t>
      </w:r>
      <w:r w:rsidR="00314BF4">
        <w:t>s</w:t>
      </w:r>
      <w:r>
        <w:t>t</w:t>
      </w:r>
      <w:r w:rsidR="00314BF4">
        <w:t>s</w:t>
      </w:r>
      <w:r>
        <w:t xml:space="preserve"> may be expressed in the following terms</w:t>
      </w:r>
      <w:r w:rsidR="00314BF4">
        <w:t xml:space="preserve">. 1. </w:t>
      </w:r>
      <w:r>
        <w:t>Proceedings are vexatious if they are instituted with the intention of annoying or embarrassing the person against whom they are brought.</w:t>
      </w:r>
      <w:r w:rsidR="00314BF4">
        <w:t xml:space="preserve"> </w:t>
      </w:r>
      <w:r>
        <w:t>2.</w:t>
      </w:r>
      <w:r w:rsidR="00113336">
        <w:t xml:space="preserve"> </w:t>
      </w:r>
      <w:r>
        <w:t>They are vexatious if they are brought for collateral purposes, and not for the purpose of having the court adjudicate on the issues to which they give rise.</w:t>
      </w:r>
      <w:r w:rsidR="00113336">
        <w:t xml:space="preserve"> </w:t>
      </w:r>
      <w:r>
        <w:t>3</w:t>
      </w:r>
      <w:r w:rsidR="00314BF4">
        <w:t xml:space="preserve">. </w:t>
      </w:r>
      <w:r>
        <w:t>They are also properly to be regarded as vexatious if, irrespective of the motive of the litigant, they are so obviously untenable or manifestly groundless as to be utterly hopeless.</w:t>
      </w:r>
    </w:p>
    <w:p w:rsidR="00A270F7" w:rsidRDefault="00A270F7" w:rsidP="008B209B">
      <w:pPr>
        <w:pStyle w:val="Para1"/>
        <w:spacing w:line="240" w:lineRule="auto"/>
      </w:pPr>
      <w:r>
        <w:t xml:space="preserve">In </w:t>
      </w:r>
      <w:r w:rsidR="00956905">
        <w:rPr>
          <w:i/>
        </w:rPr>
        <w:t>Inberg v Bayside City Council</w:t>
      </w:r>
      <w:r w:rsidR="00956905">
        <w:t xml:space="preserve"> supra </w:t>
      </w:r>
      <w:r w:rsidR="00314BF4">
        <w:t xml:space="preserve">Deputy President </w:t>
      </w:r>
      <w:r w:rsidR="00956905">
        <w:t xml:space="preserve">Bruce applied this explanation of the meaning of “vexatious” directly to the word as used in paragraph (b) on the basis that </w:t>
      </w:r>
      <w:r w:rsidR="00956905" w:rsidRPr="00314BF4">
        <w:rPr>
          <w:i/>
        </w:rPr>
        <w:t>Kay’s Case</w:t>
      </w:r>
      <w:r w:rsidR="00956905">
        <w:t xml:space="preserve"> involved in the use of the word “in a Victorian statute” (see para 99)</w:t>
      </w:r>
    </w:p>
    <w:p w:rsidR="00956905" w:rsidRDefault="00956905" w:rsidP="008B209B">
      <w:pPr>
        <w:pStyle w:val="Para1"/>
        <w:spacing w:line="240" w:lineRule="auto"/>
      </w:pPr>
      <w:r>
        <w:t xml:space="preserve">There are some similarities between the statutory context in which a person may be declared a vexatious litigant under the </w:t>
      </w:r>
      <w:r>
        <w:rPr>
          <w:i/>
        </w:rPr>
        <w:t>Supreme Court Act 1986</w:t>
      </w:r>
      <w:r>
        <w:t xml:space="preserve"> and </w:t>
      </w:r>
      <w:r w:rsidR="008B209B">
        <w:t xml:space="preserve">paragraph </w:t>
      </w:r>
      <w:r>
        <w:t>(b) which remove</w:t>
      </w:r>
      <w:r w:rsidR="008B209B">
        <w:t>s</w:t>
      </w:r>
      <w:r>
        <w:t xml:space="preserve"> the de facto vetoing effect of an objection.</w:t>
      </w:r>
      <w:r w:rsidR="00113336">
        <w:t xml:space="preserve"> </w:t>
      </w:r>
      <w:r>
        <w:t xml:space="preserve">However there are also dangers in the direct translation of a judicial definition </w:t>
      </w:r>
      <w:r w:rsidR="008B209B">
        <w:t xml:space="preserve">in one statutory context </w:t>
      </w:r>
      <w:r>
        <w:t>to a different statutory context.</w:t>
      </w:r>
      <w:r w:rsidR="00113336">
        <w:t xml:space="preserve"> </w:t>
      </w:r>
      <w:r>
        <w:t>This is particularly so in the present case where paragraph (b) is clearly directed towards the objector’s motive.</w:t>
      </w:r>
      <w:r w:rsidR="00113336">
        <w:t xml:space="preserve"> </w:t>
      </w:r>
      <w:r>
        <w:t xml:space="preserve">This casts some doubt over the applicability </w:t>
      </w:r>
      <w:r>
        <w:lastRenderedPageBreak/>
        <w:t xml:space="preserve">of the notion of “constructive vexation” suggested by the third leg of the definition in </w:t>
      </w:r>
      <w:r>
        <w:rPr>
          <w:i/>
        </w:rPr>
        <w:t>Wentworth Case</w:t>
      </w:r>
      <w:r>
        <w:t xml:space="preserve"> which </w:t>
      </w:r>
      <w:r w:rsidR="008B209B">
        <w:t xml:space="preserve">is to apply </w:t>
      </w:r>
      <w:r>
        <w:t>“irrespective of motive”.</w:t>
      </w:r>
    </w:p>
    <w:p w:rsidR="00956905" w:rsidRDefault="00956905" w:rsidP="008B209B">
      <w:pPr>
        <w:pStyle w:val="Para1"/>
        <w:spacing w:line="240" w:lineRule="auto"/>
      </w:pPr>
      <w:r>
        <w:t>I prefer to be guided by the ordinary and everyday meaning of “vexatious” as set out in the Macquarie Dictionary.</w:t>
      </w:r>
    </w:p>
    <w:p w:rsidR="00956905" w:rsidRDefault="00956905" w:rsidP="008B209B">
      <w:pPr>
        <w:pStyle w:val="Para1"/>
        <w:numPr>
          <w:ilvl w:val="0"/>
          <w:numId w:val="0"/>
        </w:numPr>
        <w:spacing w:line="240" w:lineRule="auto"/>
        <w:ind w:left="567"/>
      </w:pPr>
      <w:r>
        <w:t>1.</w:t>
      </w:r>
      <w:r>
        <w:tab/>
      </w:r>
      <w:r>
        <w:tab/>
      </w:r>
      <w:r w:rsidR="008B209B">
        <w:t>c</w:t>
      </w:r>
      <w:r>
        <w:t>ausing vexation;</w:t>
      </w:r>
    </w:p>
    <w:p w:rsidR="00956905" w:rsidRDefault="00956905" w:rsidP="008B209B">
      <w:pPr>
        <w:pStyle w:val="Para1"/>
        <w:numPr>
          <w:ilvl w:val="0"/>
          <w:numId w:val="0"/>
        </w:numPr>
        <w:spacing w:line="240" w:lineRule="auto"/>
        <w:ind w:left="567"/>
      </w:pPr>
      <w:r>
        <w:t>2.</w:t>
      </w:r>
      <w:r>
        <w:tab/>
      </w:r>
      <w:r>
        <w:tab/>
      </w:r>
      <w:r w:rsidR="008B209B">
        <w:t>a</w:t>
      </w:r>
      <w:r>
        <w:t>nnoying</w:t>
      </w:r>
    </w:p>
    <w:p w:rsidR="00956905" w:rsidRPr="00956905" w:rsidRDefault="00956905" w:rsidP="008B209B">
      <w:pPr>
        <w:pStyle w:val="Para1"/>
        <w:numPr>
          <w:ilvl w:val="0"/>
          <w:numId w:val="0"/>
        </w:numPr>
        <w:spacing w:line="240" w:lineRule="auto"/>
        <w:ind w:left="1136" w:hanging="569"/>
      </w:pPr>
      <w:r>
        <w:t>3.</w:t>
      </w:r>
      <w:r>
        <w:tab/>
      </w:r>
      <w:r w:rsidR="008B209B">
        <w:rPr>
          <w:i/>
        </w:rPr>
        <w:t>l</w:t>
      </w:r>
      <w:r>
        <w:rPr>
          <w:i/>
        </w:rPr>
        <w:t>aw</w:t>
      </w:r>
      <w:r>
        <w:t xml:space="preserve"> (of legal actions) instituted without sufficient grounds, and serving only to cause annoyance..</w:t>
      </w:r>
    </w:p>
    <w:p w:rsidR="00956905" w:rsidRDefault="00956905" w:rsidP="008B209B">
      <w:pPr>
        <w:pStyle w:val="Para1"/>
        <w:spacing w:line="240" w:lineRule="auto"/>
      </w:pPr>
      <w:r>
        <w:t>The notion of “vexatious” imports inten</w:t>
      </w:r>
      <w:r w:rsidR="008B209B">
        <w:t>t</w:t>
      </w:r>
      <w:r>
        <w:t xml:space="preserve"> to cause annoyance, which of course can often be inferred from the fact that the objection is “obviously untenable” or “manifestly groundless”.</w:t>
      </w:r>
    </w:p>
    <w:p w:rsidR="00956905" w:rsidRDefault="00956905" w:rsidP="008B209B">
      <w:pPr>
        <w:pStyle w:val="Para1"/>
        <w:spacing w:line="240" w:lineRule="auto"/>
      </w:pPr>
      <w:r>
        <w:t xml:space="preserve">The objections from the benefitting owners were not pursued before me so I have taken them to be as lodged with the </w:t>
      </w:r>
      <w:r w:rsidR="008B209B">
        <w:t>r</w:t>
      </w:r>
      <w:r>
        <w:t xml:space="preserve">esponsible </w:t>
      </w:r>
      <w:r w:rsidR="008B209B">
        <w:t>a</w:t>
      </w:r>
      <w:r>
        <w:t>uthority in resp</w:t>
      </w:r>
      <w:r w:rsidR="008B209B">
        <w:t xml:space="preserve">onse </w:t>
      </w:r>
      <w:r>
        <w:t>to the advertising of the application.</w:t>
      </w:r>
    </w:p>
    <w:p w:rsidR="00956905" w:rsidRDefault="00956905" w:rsidP="008B209B">
      <w:pPr>
        <w:pStyle w:val="Para1"/>
        <w:spacing w:line="240" w:lineRule="auto"/>
      </w:pPr>
      <w:r>
        <w:t xml:space="preserve">The careful analysis presented by Mr Watters reveals that in relation to Ms </w:t>
      </w:r>
      <w:r w:rsidR="008B209B">
        <w:t>P</w:t>
      </w:r>
      <w:r>
        <w:t>ettolino (</w:t>
      </w:r>
      <w:smartTag w:uri="urn:schemas-microsoft-com:office:smarttags" w:element="address">
        <w:smartTag w:uri="urn:schemas-microsoft-com:office:smarttags" w:element="Street">
          <w:r>
            <w:t>1/15 Hobbs Crescent</w:t>
          </w:r>
        </w:smartTag>
      </w:smartTag>
      <w:r>
        <w:t>) and Ms Papalia (</w:t>
      </w:r>
      <w:smartTag w:uri="urn:schemas-microsoft-com:office:smarttags" w:element="address">
        <w:smartTag w:uri="urn:schemas-microsoft-com:office:smarttags" w:element="Street">
          <w:r>
            <w:t>33 Gellibrand Crescent</w:t>
          </w:r>
        </w:smartTag>
      </w:smartTag>
      <w:r>
        <w:t>) there is a strong case that the objections are untenable and have no prospect of being upheld.</w:t>
      </w:r>
      <w:r w:rsidR="00113336">
        <w:t xml:space="preserve"> </w:t>
      </w:r>
      <w:r>
        <w:t>There was no evidence that the objections were calculated to annoy or frustrate the applicant although clearly they might have that effect.</w:t>
      </w:r>
      <w:r w:rsidR="00113336">
        <w:t xml:space="preserve"> </w:t>
      </w:r>
      <w:r>
        <w:t>Ultimately I do not have to decide whether this is sufficient to render the objections “vexatious” because the same cannot be said of the third benefitting objectors, Sanchez and Morales.</w:t>
      </w:r>
      <w:r w:rsidR="00113336">
        <w:t xml:space="preserve"> </w:t>
      </w:r>
      <w:r>
        <w:t>They have raised the issue of whether a multi-dwelling development of the subject land would change the character of the neighbourhood.</w:t>
      </w:r>
    </w:p>
    <w:p w:rsidR="00956905" w:rsidRDefault="00956905" w:rsidP="008B209B">
      <w:pPr>
        <w:pStyle w:val="Para1"/>
        <w:spacing w:line="240" w:lineRule="auto"/>
      </w:pPr>
      <w:r>
        <w:t xml:space="preserve">This is an arguable point, and indeed it might be said that the purpose of the covenant is to create and preserve a certain neighbourhood character, being </w:t>
      </w:r>
      <w:r w:rsidR="008B209B">
        <w:t xml:space="preserve">a </w:t>
      </w:r>
      <w:r>
        <w:t>single detached dwelling on each allotment.</w:t>
      </w:r>
      <w:r w:rsidR="00113336">
        <w:t xml:space="preserve"> </w:t>
      </w:r>
      <w:r>
        <w:t>In my view it can</w:t>
      </w:r>
      <w:r w:rsidR="000C4061">
        <w:t>not be said that this objection</w:t>
      </w:r>
      <w:r>
        <w:t>, although unlikely to succeed having regard to the incursion of multi-dwelling development in the area, is vexatious.</w:t>
      </w:r>
      <w:r w:rsidR="00113336">
        <w:t xml:space="preserve"> </w:t>
      </w:r>
      <w:r>
        <w:t>One objection which cannot be impu</w:t>
      </w:r>
      <w:r w:rsidR="002051DD">
        <w:t>g</w:t>
      </w:r>
      <w:r>
        <w:t>ned under paragraph (b) is sufficient to defeat the application.</w:t>
      </w:r>
    </w:p>
    <w:p w:rsidR="00956905" w:rsidRDefault="00956905" w:rsidP="008B209B">
      <w:pPr>
        <w:pStyle w:val="Para1"/>
        <w:spacing w:line="240" w:lineRule="auto"/>
      </w:pPr>
      <w:r>
        <w:t xml:space="preserve">For these reason the application for review is dismissed and the decision of the </w:t>
      </w:r>
      <w:r w:rsidR="008B209B">
        <w:t>r</w:t>
      </w:r>
      <w:r>
        <w:t xml:space="preserve">esponsible </w:t>
      </w:r>
      <w:r w:rsidR="008B209B">
        <w:t>a</w:t>
      </w:r>
      <w:r>
        <w:t>uthority to refuse a permit is affirmed.</w:t>
      </w:r>
    </w:p>
    <w:p w:rsidR="00956905" w:rsidRPr="00A270F7" w:rsidRDefault="00956905" w:rsidP="008B209B">
      <w:pPr>
        <w:pStyle w:val="Para1"/>
        <w:numPr>
          <w:ilvl w:val="0"/>
          <w:numId w:val="0"/>
        </w:numPr>
        <w:spacing w:line="240" w:lineRule="auto"/>
      </w:pPr>
    </w:p>
    <w:p w:rsidR="00746370" w:rsidRDefault="00746370" w:rsidP="008B209B">
      <w:pPr>
        <w:pStyle w:val="Para1"/>
        <w:numPr>
          <w:ilvl w:val="0"/>
          <w:numId w:val="0"/>
        </w:numPr>
        <w:spacing w:line="240" w:lineRule="auto"/>
      </w:pPr>
    </w:p>
    <w:tbl>
      <w:tblPr>
        <w:tblW w:w="5000" w:type="pct"/>
        <w:tblLook w:val="0000" w:firstRow="0" w:lastRow="0" w:firstColumn="0" w:lastColumn="0" w:noHBand="0" w:noVBand="0"/>
      </w:tblPr>
      <w:tblGrid>
        <w:gridCol w:w="2907"/>
        <w:gridCol w:w="2908"/>
        <w:gridCol w:w="2906"/>
      </w:tblGrid>
      <w:tr w:rsidR="00DD6281" w:rsidTr="00746370">
        <w:tblPrEx>
          <w:tblCellMar>
            <w:top w:w="0" w:type="dxa"/>
            <w:bottom w:w="0" w:type="dxa"/>
          </w:tblCellMar>
        </w:tblPrEx>
        <w:tc>
          <w:tcPr>
            <w:tcW w:w="1667" w:type="pct"/>
          </w:tcPr>
          <w:p w:rsidR="00DD6281" w:rsidRDefault="00DD6281" w:rsidP="008B209B">
            <w:r>
              <w:t>H. McM. Wright QC</w:t>
            </w:r>
          </w:p>
          <w:p w:rsidR="00DD6281" w:rsidRDefault="00DD6281" w:rsidP="008B209B">
            <w:pPr>
              <w:tabs>
                <w:tab w:val="left" w:pos="1515"/>
              </w:tabs>
              <w:rPr>
                <w:b/>
              </w:rPr>
            </w:pPr>
            <w:r>
              <w:rPr>
                <w:b/>
              </w:rPr>
              <w:t>Senior Member</w:t>
            </w:r>
          </w:p>
        </w:tc>
        <w:tc>
          <w:tcPr>
            <w:tcW w:w="1667" w:type="pct"/>
          </w:tcPr>
          <w:p w:rsidR="00DD6281" w:rsidRDefault="00DD6281" w:rsidP="008B209B"/>
        </w:tc>
        <w:tc>
          <w:tcPr>
            <w:tcW w:w="1666" w:type="pct"/>
          </w:tcPr>
          <w:p w:rsidR="00DD6281" w:rsidRDefault="00DD6281" w:rsidP="008B209B"/>
        </w:tc>
      </w:tr>
    </w:tbl>
    <w:p w:rsidR="002917C7" w:rsidRDefault="002917C7" w:rsidP="008B209B"/>
    <w:p w:rsidR="00DD6281" w:rsidRDefault="002917C7" w:rsidP="002917C7">
      <w:pPr>
        <w:pStyle w:val="Heading1"/>
      </w:pPr>
      <w:r>
        <w:br w:type="page"/>
      </w:r>
      <w:r>
        <w:lastRenderedPageBreak/>
        <w:t>Addendum</w:t>
      </w:r>
    </w:p>
    <w:p w:rsidR="002917C7" w:rsidRDefault="002917C7" w:rsidP="002C3B1D">
      <w:pPr>
        <w:pStyle w:val="Para1"/>
        <w:numPr>
          <w:ilvl w:val="0"/>
          <w:numId w:val="0"/>
        </w:numPr>
        <w:ind w:left="567"/>
        <w:jc w:val="center"/>
      </w:pPr>
      <w:r>
        <w:t>Not part of the Decision</w:t>
      </w:r>
    </w:p>
    <w:p w:rsidR="002C3B1D" w:rsidRPr="002917C7" w:rsidRDefault="00CB4504" w:rsidP="002C3B1D">
      <w:pPr>
        <w:pStyle w:val="Para1"/>
        <w:numPr>
          <w:ilvl w:val="0"/>
          <w:numId w:val="0"/>
        </w:numPr>
        <w:jc w:val="center"/>
      </w:pPr>
      <w:r>
        <w:rPr>
          <w:noProof/>
          <w:lang w:val="en-US"/>
        </w:rPr>
        <w:drawing>
          <wp:inline distT="0" distB="0" distL="0" distR="0">
            <wp:extent cx="5882640" cy="343662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82640" cy="3436620"/>
                    </a:xfrm>
                    <a:prstGeom prst="rect">
                      <a:avLst/>
                    </a:prstGeom>
                    <a:noFill/>
                    <a:ln>
                      <a:noFill/>
                    </a:ln>
                  </pic:spPr>
                </pic:pic>
              </a:graphicData>
            </a:graphic>
          </wp:inline>
        </w:drawing>
      </w:r>
    </w:p>
    <w:sectPr w:rsidR="002C3B1D" w:rsidRPr="002917C7">
      <w:footerReference w:type="default" r:id="rId9"/>
      <w:pgSz w:w="11907" w:h="16840" w:code="9"/>
      <w:pgMar w:top="1418" w:right="1701" w:bottom="1418" w:left="1701" w:header="567"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21A1" w:rsidRDefault="006F21A1">
      <w:r>
        <w:separator/>
      </w:r>
    </w:p>
  </w:endnote>
  <w:endnote w:type="continuationSeparator" w:id="0">
    <w:p w:rsidR="006F21A1" w:rsidRDefault="006F21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tblBorders>
      <w:tblLook w:val="0000" w:firstRow="0" w:lastRow="0" w:firstColumn="0" w:lastColumn="0" w:noHBand="0" w:noVBand="0"/>
    </w:tblPr>
    <w:tblGrid>
      <w:gridCol w:w="6774"/>
      <w:gridCol w:w="1947"/>
    </w:tblGrid>
    <w:tr w:rsidR="00F14261">
      <w:tblPrEx>
        <w:tblCellMar>
          <w:top w:w="0" w:type="dxa"/>
          <w:bottom w:w="0" w:type="dxa"/>
        </w:tblCellMar>
      </w:tblPrEx>
      <w:trPr>
        <w:cantSplit/>
      </w:trPr>
      <w:tc>
        <w:tcPr>
          <w:tcW w:w="3884" w:type="pct"/>
          <w:tcBorders>
            <w:top w:val="single" w:sz="4" w:space="0" w:color="auto"/>
          </w:tcBorders>
        </w:tcPr>
        <w:p w:rsidR="00F14261" w:rsidRDefault="00F14261">
          <w:pPr>
            <w:pStyle w:val="Footer"/>
            <w:spacing w:beforeLines="60" w:before="144"/>
            <w:rPr>
              <w:rFonts w:cs="Arial"/>
              <w:sz w:val="18"/>
              <w:szCs w:val="18"/>
            </w:rPr>
          </w:pPr>
          <w:bookmarkStart w:id="19" w:name="FooterDescription"/>
          <w:bookmarkStart w:id="20" w:name="FooterFileNo1"/>
          <w:bookmarkEnd w:id="19"/>
          <w:bookmarkEnd w:id="20"/>
          <w:r>
            <w:rPr>
              <w:rFonts w:cs="Arial"/>
              <w:sz w:val="18"/>
              <w:szCs w:val="18"/>
            </w:rPr>
            <w:t>VCAT Reference No. P2577/2012</w:t>
          </w:r>
        </w:p>
      </w:tc>
      <w:tc>
        <w:tcPr>
          <w:tcW w:w="1116" w:type="pct"/>
          <w:tcBorders>
            <w:top w:val="single" w:sz="4" w:space="0" w:color="auto"/>
          </w:tcBorders>
        </w:tcPr>
        <w:p w:rsidR="00F14261" w:rsidRDefault="00F14261">
          <w:pPr>
            <w:pStyle w:val="Footer"/>
            <w:spacing w:beforeLines="60" w:before="144"/>
            <w:jc w:val="right"/>
            <w:rPr>
              <w:rFonts w:cs="Arial"/>
              <w:sz w:val="18"/>
              <w:szCs w:val="18"/>
            </w:rPr>
          </w:pPr>
          <w:r>
            <w:rPr>
              <w:rFonts w:cs="Arial"/>
              <w:sz w:val="18"/>
              <w:szCs w:val="18"/>
            </w:rPr>
            <w:t xml:space="preserve">Page </w:t>
          </w:r>
          <w:r>
            <w:rPr>
              <w:rStyle w:val="PageNumber"/>
              <w:rFonts w:cs="Arial"/>
              <w:sz w:val="18"/>
              <w:szCs w:val="18"/>
            </w:rPr>
            <w:fldChar w:fldCharType="begin"/>
          </w:r>
          <w:r>
            <w:rPr>
              <w:rStyle w:val="PageNumber"/>
              <w:rFonts w:cs="Arial"/>
              <w:sz w:val="18"/>
              <w:szCs w:val="18"/>
            </w:rPr>
            <w:instrText xml:space="preserve"> PAGE </w:instrText>
          </w:r>
          <w:r>
            <w:rPr>
              <w:rStyle w:val="PageNumber"/>
              <w:rFonts w:cs="Arial"/>
              <w:sz w:val="18"/>
              <w:szCs w:val="18"/>
            </w:rPr>
            <w:fldChar w:fldCharType="separate"/>
          </w:r>
          <w:r w:rsidR="00CB4504">
            <w:rPr>
              <w:rStyle w:val="PageNumber"/>
              <w:rFonts w:cs="Arial"/>
              <w:noProof/>
              <w:sz w:val="18"/>
              <w:szCs w:val="18"/>
            </w:rPr>
            <w:t>10</w:t>
          </w:r>
          <w:r>
            <w:rPr>
              <w:rStyle w:val="PageNumber"/>
              <w:rFonts w:cs="Arial"/>
              <w:sz w:val="18"/>
              <w:szCs w:val="18"/>
            </w:rPr>
            <w:fldChar w:fldCharType="end"/>
          </w:r>
          <w:r>
            <w:rPr>
              <w:rStyle w:val="PageNumber"/>
              <w:rFonts w:cs="Arial"/>
              <w:sz w:val="18"/>
              <w:szCs w:val="18"/>
            </w:rPr>
            <w:t xml:space="preserve"> of </w:t>
          </w:r>
          <w:r>
            <w:rPr>
              <w:rStyle w:val="PageNumber"/>
              <w:rFonts w:cs="Arial"/>
              <w:sz w:val="18"/>
              <w:szCs w:val="18"/>
            </w:rPr>
            <w:fldChar w:fldCharType="begin"/>
          </w:r>
          <w:r>
            <w:rPr>
              <w:rStyle w:val="PageNumber"/>
              <w:rFonts w:cs="Arial"/>
              <w:sz w:val="18"/>
              <w:szCs w:val="18"/>
            </w:rPr>
            <w:instrText xml:space="preserve"> NUMPAGES </w:instrText>
          </w:r>
          <w:r>
            <w:rPr>
              <w:rStyle w:val="PageNumber"/>
              <w:rFonts w:cs="Arial"/>
              <w:sz w:val="18"/>
              <w:szCs w:val="18"/>
            </w:rPr>
            <w:fldChar w:fldCharType="separate"/>
          </w:r>
          <w:r w:rsidR="00CB4504">
            <w:rPr>
              <w:rStyle w:val="PageNumber"/>
              <w:rFonts w:cs="Arial"/>
              <w:noProof/>
              <w:sz w:val="18"/>
              <w:szCs w:val="18"/>
            </w:rPr>
            <w:t>10</w:t>
          </w:r>
          <w:r>
            <w:rPr>
              <w:rStyle w:val="PageNumber"/>
              <w:rFonts w:cs="Arial"/>
              <w:sz w:val="18"/>
              <w:szCs w:val="18"/>
            </w:rPr>
            <w:fldChar w:fldCharType="end"/>
          </w:r>
        </w:p>
      </w:tc>
    </w:tr>
  </w:tbl>
  <w:p w:rsidR="00F14261" w:rsidRDefault="00F14261">
    <w:pPr>
      <w:pStyle w:val="Footer"/>
      <w:rPr>
        <w:sz w:val="2"/>
      </w:rPr>
    </w:pPr>
  </w:p>
  <w:p w:rsidR="00F14261" w:rsidRDefault="00F14261">
    <w:pPr>
      <w:rPr>
        <w:sz w:val="2"/>
      </w:rPr>
    </w:pPr>
  </w:p>
  <w:p w:rsidR="00F14261" w:rsidRDefault="00F14261">
    <w:pPr>
      <w:pStyle w:val="Footer"/>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21A1" w:rsidRDefault="006F21A1">
      <w:pPr>
        <w:pStyle w:val="Footer"/>
        <w:pBdr>
          <w:top w:val="single" w:sz="4" w:space="1" w:color="auto"/>
        </w:pBdr>
        <w:rPr>
          <w:sz w:val="12"/>
        </w:rPr>
      </w:pPr>
    </w:p>
  </w:footnote>
  <w:footnote w:type="continuationSeparator" w:id="0">
    <w:p w:rsidR="006F21A1" w:rsidRDefault="006F21A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C5F39"/>
    <w:multiLevelType w:val="hybridMultilevel"/>
    <w:tmpl w:val="A8D2037A"/>
    <w:lvl w:ilvl="0" w:tplc="46F0D6B0">
      <w:start w:val="1"/>
      <w:numFmt w:val="lowerRoman"/>
      <w:lvlText w:val="(%1)"/>
      <w:lvlJc w:val="left"/>
      <w:pPr>
        <w:tabs>
          <w:tab w:val="num" w:pos="2880"/>
        </w:tabs>
        <w:ind w:left="2880" w:hanging="720"/>
      </w:pPr>
      <w:rPr>
        <w:rFonts w:cs="Times New Roman" w:hint="default"/>
      </w:rPr>
    </w:lvl>
    <w:lvl w:ilvl="1" w:tplc="0C090019" w:tentative="1">
      <w:start w:val="1"/>
      <w:numFmt w:val="lowerLetter"/>
      <w:lvlText w:val="%2."/>
      <w:lvlJc w:val="left"/>
      <w:pPr>
        <w:tabs>
          <w:tab w:val="num" w:pos="2880"/>
        </w:tabs>
        <w:ind w:left="2880" w:hanging="360"/>
      </w:pPr>
      <w:rPr>
        <w:rFonts w:cs="Times New Roman"/>
      </w:rPr>
    </w:lvl>
    <w:lvl w:ilvl="2" w:tplc="0C09001B" w:tentative="1">
      <w:start w:val="1"/>
      <w:numFmt w:val="lowerRoman"/>
      <w:lvlText w:val="%3."/>
      <w:lvlJc w:val="right"/>
      <w:pPr>
        <w:tabs>
          <w:tab w:val="num" w:pos="3600"/>
        </w:tabs>
        <w:ind w:left="3600" w:hanging="180"/>
      </w:pPr>
      <w:rPr>
        <w:rFonts w:cs="Times New Roman"/>
      </w:rPr>
    </w:lvl>
    <w:lvl w:ilvl="3" w:tplc="0C09000F" w:tentative="1">
      <w:start w:val="1"/>
      <w:numFmt w:val="decimal"/>
      <w:lvlText w:val="%4."/>
      <w:lvlJc w:val="left"/>
      <w:pPr>
        <w:tabs>
          <w:tab w:val="num" w:pos="4320"/>
        </w:tabs>
        <w:ind w:left="4320" w:hanging="360"/>
      </w:pPr>
      <w:rPr>
        <w:rFonts w:cs="Times New Roman"/>
      </w:rPr>
    </w:lvl>
    <w:lvl w:ilvl="4" w:tplc="0C090019" w:tentative="1">
      <w:start w:val="1"/>
      <w:numFmt w:val="lowerLetter"/>
      <w:lvlText w:val="%5."/>
      <w:lvlJc w:val="left"/>
      <w:pPr>
        <w:tabs>
          <w:tab w:val="num" w:pos="5040"/>
        </w:tabs>
        <w:ind w:left="5040" w:hanging="360"/>
      </w:pPr>
      <w:rPr>
        <w:rFonts w:cs="Times New Roman"/>
      </w:rPr>
    </w:lvl>
    <w:lvl w:ilvl="5" w:tplc="0C09001B" w:tentative="1">
      <w:start w:val="1"/>
      <w:numFmt w:val="lowerRoman"/>
      <w:lvlText w:val="%6."/>
      <w:lvlJc w:val="right"/>
      <w:pPr>
        <w:tabs>
          <w:tab w:val="num" w:pos="5760"/>
        </w:tabs>
        <w:ind w:left="5760" w:hanging="180"/>
      </w:pPr>
      <w:rPr>
        <w:rFonts w:cs="Times New Roman"/>
      </w:rPr>
    </w:lvl>
    <w:lvl w:ilvl="6" w:tplc="0C09000F" w:tentative="1">
      <w:start w:val="1"/>
      <w:numFmt w:val="decimal"/>
      <w:lvlText w:val="%7."/>
      <w:lvlJc w:val="left"/>
      <w:pPr>
        <w:tabs>
          <w:tab w:val="num" w:pos="6480"/>
        </w:tabs>
        <w:ind w:left="6480" w:hanging="360"/>
      </w:pPr>
      <w:rPr>
        <w:rFonts w:cs="Times New Roman"/>
      </w:rPr>
    </w:lvl>
    <w:lvl w:ilvl="7" w:tplc="0C090019" w:tentative="1">
      <w:start w:val="1"/>
      <w:numFmt w:val="lowerLetter"/>
      <w:lvlText w:val="%8."/>
      <w:lvlJc w:val="left"/>
      <w:pPr>
        <w:tabs>
          <w:tab w:val="num" w:pos="7200"/>
        </w:tabs>
        <w:ind w:left="7200" w:hanging="360"/>
      </w:pPr>
      <w:rPr>
        <w:rFonts w:cs="Times New Roman"/>
      </w:rPr>
    </w:lvl>
    <w:lvl w:ilvl="8" w:tplc="0C09001B" w:tentative="1">
      <w:start w:val="1"/>
      <w:numFmt w:val="lowerRoman"/>
      <w:lvlText w:val="%9."/>
      <w:lvlJc w:val="right"/>
      <w:pPr>
        <w:tabs>
          <w:tab w:val="num" w:pos="7920"/>
        </w:tabs>
        <w:ind w:left="7920" w:hanging="180"/>
      </w:pPr>
      <w:rPr>
        <w:rFonts w:cs="Times New Roman"/>
      </w:rPr>
    </w:lvl>
  </w:abstractNum>
  <w:abstractNum w:abstractNumId="1">
    <w:nsid w:val="04474282"/>
    <w:multiLevelType w:val="multilevel"/>
    <w:tmpl w:val="81B0A810"/>
    <w:lvl w:ilvl="0">
      <w:start w:val="1"/>
      <w:numFmt w:val="bullet"/>
      <w:lvlText w:val=""/>
      <w:lvlJc w:val="left"/>
      <w:pPr>
        <w:tabs>
          <w:tab w:val="num" w:pos="1134"/>
        </w:tabs>
        <w:ind w:left="1134" w:hanging="567"/>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AA81283"/>
    <w:multiLevelType w:val="hybridMultilevel"/>
    <w:tmpl w:val="E05CEAF0"/>
    <w:lvl w:ilvl="0" w:tplc="6D527BE2">
      <w:start w:val="1"/>
      <w:numFmt w:val="decimal"/>
      <w:pStyle w:val="Para1"/>
      <w:lvlText w:val="%1"/>
      <w:lvlJc w:val="left"/>
      <w:pPr>
        <w:tabs>
          <w:tab w:val="num" w:pos="567"/>
        </w:tabs>
        <w:ind w:left="567" w:hanging="567"/>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0B893A7F"/>
    <w:multiLevelType w:val="hybridMultilevel"/>
    <w:tmpl w:val="A59A9106"/>
    <w:lvl w:ilvl="0" w:tplc="767AA104">
      <w:start w:val="1"/>
      <w:numFmt w:val="lowerLetter"/>
      <w:pStyle w:val="Para4"/>
      <w:lvlText w:val="%1"/>
      <w:lvlJc w:val="left"/>
      <w:pPr>
        <w:tabs>
          <w:tab w:val="num" w:pos="1134"/>
        </w:tabs>
        <w:ind w:left="1134" w:hanging="567"/>
      </w:pPr>
      <w:rPr>
        <w:rFonts w:cs="Times New Roman" w:hint="default"/>
      </w:rPr>
    </w:lvl>
    <w:lvl w:ilvl="1" w:tplc="EA08CFEC">
      <w:start w:val="1"/>
      <w:numFmt w:val="bullet"/>
      <w:pStyle w:val="Para5"/>
      <w:lvlText w:val=""/>
      <w:lvlJc w:val="left"/>
      <w:pPr>
        <w:tabs>
          <w:tab w:val="num" w:pos="1134"/>
        </w:tabs>
        <w:ind w:left="1134" w:hanging="567"/>
      </w:pPr>
      <w:rPr>
        <w:rFonts w:ascii="Symbol" w:hAnsi="Symbol"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E0188D08">
      <w:start w:val="1"/>
      <w:numFmt w:val="lowerLetter"/>
      <w:pStyle w:val="Para4"/>
      <w:lvlText w:val="%5."/>
      <w:lvlJc w:val="left"/>
      <w:pPr>
        <w:tabs>
          <w:tab w:val="num" w:pos="1134"/>
        </w:tabs>
        <w:ind w:left="1134" w:hanging="567"/>
      </w:pPr>
      <w:rPr>
        <w:rFonts w:cs="Times New Roman" w:hint="default"/>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132A618D"/>
    <w:multiLevelType w:val="hybridMultilevel"/>
    <w:tmpl w:val="9EC46206"/>
    <w:lvl w:ilvl="0" w:tplc="CE9239F4">
      <w:start w:val="1"/>
      <w:numFmt w:val="lowerRoman"/>
      <w:pStyle w:val="Para3"/>
      <w:lvlText w:val="%1"/>
      <w:lvlJc w:val="left"/>
      <w:pPr>
        <w:tabs>
          <w:tab w:val="num" w:pos="1134"/>
        </w:tabs>
        <w:ind w:left="1134" w:hanging="567"/>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15633A84"/>
    <w:multiLevelType w:val="multilevel"/>
    <w:tmpl w:val="92D230AE"/>
    <w:lvl w:ilvl="0">
      <w:start w:val="1"/>
      <w:numFmt w:val="decimal"/>
      <w:lvlText w:val="%1."/>
      <w:lvlJc w:val="left"/>
      <w:pPr>
        <w:tabs>
          <w:tab w:val="num" w:pos="567"/>
        </w:tabs>
        <w:ind w:left="567" w:hanging="567"/>
      </w:pPr>
      <w:rPr>
        <w:rFonts w:cs="Times New Roman" w:hint="default"/>
      </w:rPr>
    </w:lvl>
    <w:lvl w:ilvl="1">
      <w:start w:val="1"/>
      <w:numFmt w:val="bullet"/>
      <w:lvlText w:val=""/>
      <w:lvlJc w:val="left"/>
      <w:pPr>
        <w:tabs>
          <w:tab w:val="num" w:pos="1134"/>
        </w:tabs>
        <w:ind w:left="1134" w:hanging="567"/>
      </w:pPr>
      <w:rPr>
        <w:rFonts w:ascii="Symbol" w:hAnsi="Symbol"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nsid w:val="15E06E8C"/>
    <w:multiLevelType w:val="multilevel"/>
    <w:tmpl w:val="3A8A4D44"/>
    <w:lvl w:ilvl="0">
      <w:start w:val="1"/>
      <w:numFmt w:val="bullet"/>
      <w:lvlText w:val=""/>
      <w:lvlJc w:val="left"/>
      <w:pPr>
        <w:tabs>
          <w:tab w:val="num" w:pos="1134"/>
        </w:tabs>
        <w:ind w:left="1134" w:hanging="567"/>
      </w:pPr>
      <w:rPr>
        <w:rFonts w:ascii="Wingdings" w:hAnsi="Wingdings" w:hint="default"/>
      </w:rPr>
    </w:lvl>
    <w:lvl w:ilvl="1">
      <w:start w:val="1"/>
      <w:numFmt w:val="bullet"/>
      <w:lvlText w:val=""/>
      <w:lvlJc w:val="left"/>
      <w:pPr>
        <w:tabs>
          <w:tab w:val="num" w:pos="1134"/>
        </w:tabs>
        <w:ind w:left="1134" w:hanging="567"/>
      </w:pPr>
      <w:rPr>
        <w:rFonts w:ascii="Symbol" w:hAnsi="Symbol"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1134"/>
        </w:tabs>
        <w:ind w:left="1134" w:hanging="567"/>
      </w:pPr>
      <w:rPr>
        <w:rFonts w:cs="Times New Roman" w:hint="default"/>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nsid w:val="246D1F26"/>
    <w:multiLevelType w:val="multilevel"/>
    <w:tmpl w:val="C9369B1C"/>
    <w:lvl w:ilvl="0">
      <w:start w:val="1"/>
      <w:numFmt w:val="decimal"/>
      <w:lvlText w:val="%1"/>
      <w:lvlJc w:val="left"/>
      <w:pPr>
        <w:tabs>
          <w:tab w:val="num" w:pos="567"/>
        </w:tabs>
        <w:ind w:left="567" w:hanging="567"/>
      </w:pPr>
      <w:rPr>
        <w:rFonts w:cs="Times New Roman" w:hint="default"/>
      </w:rPr>
    </w:lvl>
    <w:lvl w:ilvl="1">
      <w:start w:val="1"/>
      <w:numFmt w:val="bullet"/>
      <w:lvlText w:val=""/>
      <w:lvlJc w:val="left"/>
      <w:pPr>
        <w:tabs>
          <w:tab w:val="num" w:pos="1134"/>
        </w:tabs>
        <w:ind w:left="1134" w:hanging="567"/>
      </w:pPr>
      <w:rPr>
        <w:rFonts w:ascii="Symbol" w:hAnsi="Symbol"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1134"/>
        </w:tabs>
        <w:ind w:left="1134" w:hanging="567"/>
      </w:pPr>
      <w:rPr>
        <w:rFonts w:cs="Times New Roman" w:hint="default"/>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8">
    <w:nsid w:val="29E569C1"/>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2E2B6AD1"/>
    <w:multiLevelType w:val="hybridMultilevel"/>
    <w:tmpl w:val="392A6188"/>
    <w:lvl w:ilvl="0" w:tplc="1C72B930">
      <w:start w:val="1"/>
      <w:numFmt w:val="decimal"/>
      <w:lvlText w:val="%1."/>
      <w:lvlJc w:val="left"/>
      <w:pPr>
        <w:ind w:left="927" w:hanging="360"/>
      </w:pPr>
      <w:rPr>
        <w:rFonts w:cs="Times New Roman" w:hint="default"/>
      </w:rPr>
    </w:lvl>
    <w:lvl w:ilvl="1" w:tplc="0C090019">
      <w:start w:val="1"/>
      <w:numFmt w:val="lowerLetter"/>
      <w:lvlText w:val="%2."/>
      <w:lvlJc w:val="left"/>
      <w:pPr>
        <w:ind w:left="1647" w:hanging="360"/>
      </w:pPr>
      <w:rPr>
        <w:rFonts w:cs="Times New Roman"/>
      </w:rPr>
    </w:lvl>
    <w:lvl w:ilvl="2" w:tplc="0C09001B" w:tentative="1">
      <w:start w:val="1"/>
      <w:numFmt w:val="lowerRoman"/>
      <w:lvlText w:val="%3."/>
      <w:lvlJc w:val="right"/>
      <w:pPr>
        <w:ind w:left="2367" w:hanging="180"/>
      </w:pPr>
      <w:rPr>
        <w:rFonts w:cs="Times New Roman"/>
      </w:rPr>
    </w:lvl>
    <w:lvl w:ilvl="3" w:tplc="0C09000F" w:tentative="1">
      <w:start w:val="1"/>
      <w:numFmt w:val="decimal"/>
      <w:lvlText w:val="%4."/>
      <w:lvlJc w:val="left"/>
      <w:pPr>
        <w:ind w:left="3087" w:hanging="360"/>
      </w:pPr>
      <w:rPr>
        <w:rFonts w:cs="Times New Roman"/>
      </w:rPr>
    </w:lvl>
    <w:lvl w:ilvl="4" w:tplc="0C090019" w:tentative="1">
      <w:start w:val="1"/>
      <w:numFmt w:val="lowerLetter"/>
      <w:lvlText w:val="%5."/>
      <w:lvlJc w:val="left"/>
      <w:pPr>
        <w:ind w:left="3807" w:hanging="360"/>
      </w:pPr>
      <w:rPr>
        <w:rFonts w:cs="Times New Roman"/>
      </w:rPr>
    </w:lvl>
    <w:lvl w:ilvl="5" w:tplc="0C09001B" w:tentative="1">
      <w:start w:val="1"/>
      <w:numFmt w:val="lowerRoman"/>
      <w:lvlText w:val="%6."/>
      <w:lvlJc w:val="right"/>
      <w:pPr>
        <w:ind w:left="4527" w:hanging="180"/>
      </w:pPr>
      <w:rPr>
        <w:rFonts w:cs="Times New Roman"/>
      </w:rPr>
    </w:lvl>
    <w:lvl w:ilvl="6" w:tplc="0C09000F" w:tentative="1">
      <w:start w:val="1"/>
      <w:numFmt w:val="decimal"/>
      <w:lvlText w:val="%7."/>
      <w:lvlJc w:val="left"/>
      <w:pPr>
        <w:ind w:left="5247" w:hanging="360"/>
      </w:pPr>
      <w:rPr>
        <w:rFonts w:cs="Times New Roman"/>
      </w:rPr>
    </w:lvl>
    <w:lvl w:ilvl="7" w:tplc="0C090019" w:tentative="1">
      <w:start w:val="1"/>
      <w:numFmt w:val="lowerLetter"/>
      <w:lvlText w:val="%8."/>
      <w:lvlJc w:val="left"/>
      <w:pPr>
        <w:ind w:left="5967" w:hanging="360"/>
      </w:pPr>
      <w:rPr>
        <w:rFonts w:cs="Times New Roman"/>
      </w:rPr>
    </w:lvl>
    <w:lvl w:ilvl="8" w:tplc="0C09001B" w:tentative="1">
      <w:start w:val="1"/>
      <w:numFmt w:val="lowerRoman"/>
      <w:lvlText w:val="%9."/>
      <w:lvlJc w:val="right"/>
      <w:pPr>
        <w:ind w:left="6687" w:hanging="180"/>
      </w:pPr>
      <w:rPr>
        <w:rFonts w:cs="Times New Roman"/>
      </w:rPr>
    </w:lvl>
  </w:abstractNum>
  <w:abstractNum w:abstractNumId="10">
    <w:nsid w:val="31A301F8"/>
    <w:multiLevelType w:val="hybridMultilevel"/>
    <w:tmpl w:val="81B0A810"/>
    <w:lvl w:ilvl="0" w:tplc="B338F3B0">
      <w:start w:val="1"/>
      <w:numFmt w:val="bullet"/>
      <w:pStyle w:val="Para5"/>
      <w:lvlText w:val=""/>
      <w:lvlJc w:val="left"/>
      <w:pPr>
        <w:tabs>
          <w:tab w:val="num" w:pos="1134"/>
        </w:tabs>
        <w:ind w:left="1134"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83176C7"/>
    <w:multiLevelType w:val="multilevel"/>
    <w:tmpl w:val="B2EE0958"/>
    <w:lvl w:ilvl="0">
      <w:start w:val="1"/>
      <w:numFmt w:val="decimal"/>
      <w:lvlText w:val="%1."/>
      <w:lvlJc w:val="left"/>
      <w:pPr>
        <w:tabs>
          <w:tab w:val="num" w:pos="567"/>
        </w:tabs>
        <w:ind w:left="567" w:hanging="567"/>
      </w:pPr>
      <w:rPr>
        <w:rFonts w:cs="Times New Roman" w:hint="default"/>
      </w:rPr>
    </w:lvl>
    <w:lvl w:ilvl="1">
      <w:start w:val="1"/>
      <w:numFmt w:val="lowerLetter"/>
      <w:lvlText w:val="%2."/>
      <w:lvlJc w:val="left"/>
      <w:pPr>
        <w:tabs>
          <w:tab w:val="num" w:pos="1134"/>
        </w:tabs>
        <w:ind w:left="1134" w:hanging="567"/>
      </w:pPr>
      <w:rPr>
        <w:rFonts w:cs="Times New Roman" w:hint="default"/>
      </w:rPr>
    </w:lvl>
    <w:lvl w:ilvl="2">
      <w:start w:val="1"/>
      <w:numFmt w:val="lowerRoman"/>
      <w:lvlText w:val="%3."/>
      <w:lvlJc w:val="left"/>
      <w:pPr>
        <w:tabs>
          <w:tab w:val="num" w:pos="1531"/>
        </w:tabs>
        <w:ind w:left="1531" w:hanging="397"/>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2">
    <w:nsid w:val="3B810501"/>
    <w:multiLevelType w:val="multilevel"/>
    <w:tmpl w:val="5C48BD92"/>
    <w:lvl w:ilvl="0">
      <w:start w:val="2"/>
      <w:numFmt w:val="decimal"/>
      <w:lvlText w:val="%1"/>
      <w:lvlJc w:val="left"/>
      <w:pPr>
        <w:ind w:left="360" w:hanging="360"/>
      </w:pPr>
      <w:rPr>
        <w:rFonts w:cs="Times New Roman" w:hint="default"/>
      </w:rPr>
    </w:lvl>
    <w:lvl w:ilvl="1">
      <w:start w:val="1"/>
      <w:numFmt w:val="decimal"/>
      <w:lvlText w:val="%1.%2"/>
      <w:lvlJc w:val="left"/>
      <w:pPr>
        <w:ind w:left="1647" w:hanging="360"/>
      </w:pPr>
      <w:rPr>
        <w:rFonts w:cs="Times New Roman" w:hint="default"/>
      </w:rPr>
    </w:lvl>
    <w:lvl w:ilvl="2">
      <w:start w:val="1"/>
      <w:numFmt w:val="decimal"/>
      <w:lvlText w:val="%1.%2.%3"/>
      <w:lvlJc w:val="left"/>
      <w:pPr>
        <w:ind w:left="3294" w:hanging="720"/>
      </w:pPr>
      <w:rPr>
        <w:rFonts w:cs="Times New Roman" w:hint="default"/>
      </w:rPr>
    </w:lvl>
    <w:lvl w:ilvl="3">
      <w:start w:val="1"/>
      <w:numFmt w:val="decimal"/>
      <w:lvlText w:val="%1.%2.%3.%4"/>
      <w:lvlJc w:val="left"/>
      <w:pPr>
        <w:ind w:left="4941" w:hanging="1080"/>
      </w:pPr>
      <w:rPr>
        <w:rFonts w:cs="Times New Roman" w:hint="default"/>
      </w:rPr>
    </w:lvl>
    <w:lvl w:ilvl="4">
      <w:start w:val="1"/>
      <w:numFmt w:val="decimal"/>
      <w:lvlText w:val="%1.%2.%3.%4.%5"/>
      <w:lvlJc w:val="left"/>
      <w:pPr>
        <w:ind w:left="6228" w:hanging="1080"/>
      </w:pPr>
      <w:rPr>
        <w:rFonts w:cs="Times New Roman" w:hint="default"/>
      </w:rPr>
    </w:lvl>
    <w:lvl w:ilvl="5">
      <w:start w:val="1"/>
      <w:numFmt w:val="decimal"/>
      <w:lvlText w:val="%1.%2.%3.%4.%5.%6"/>
      <w:lvlJc w:val="left"/>
      <w:pPr>
        <w:ind w:left="7875" w:hanging="1440"/>
      </w:pPr>
      <w:rPr>
        <w:rFonts w:cs="Times New Roman" w:hint="default"/>
      </w:rPr>
    </w:lvl>
    <w:lvl w:ilvl="6">
      <w:start w:val="1"/>
      <w:numFmt w:val="decimal"/>
      <w:lvlText w:val="%1.%2.%3.%4.%5.%6.%7"/>
      <w:lvlJc w:val="left"/>
      <w:pPr>
        <w:ind w:left="9162" w:hanging="1440"/>
      </w:pPr>
      <w:rPr>
        <w:rFonts w:cs="Times New Roman" w:hint="default"/>
      </w:rPr>
    </w:lvl>
    <w:lvl w:ilvl="7">
      <w:start w:val="1"/>
      <w:numFmt w:val="decimal"/>
      <w:lvlText w:val="%1.%2.%3.%4.%5.%6.%7.%8"/>
      <w:lvlJc w:val="left"/>
      <w:pPr>
        <w:ind w:left="10809" w:hanging="1800"/>
      </w:pPr>
      <w:rPr>
        <w:rFonts w:cs="Times New Roman" w:hint="default"/>
      </w:rPr>
    </w:lvl>
    <w:lvl w:ilvl="8">
      <w:start w:val="1"/>
      <w:numFmt w:val="decimal"/>
      <w:lvlText w:val="%1.%2.%3.%4.%5.%6.%7.%8.%9"/>
      <w:lvlJc w:val="left"/>
      <w:pPr>
        <w:ind w:left="12096" w:hanging="1800"/>
      </w:pPr>
      <w:rPr>
        <w:rFonts w:cs="Times New Roman" w:hint="default"/>
      </w:rPr>
    </w:lvl>
  </w:abstractNum>
  <w:abstractNum w:abstractNumId="13">
    <w:nsid w:val="3EB140E5"/>
    <w:multiLevelType w:val="hybridMultilevel"/>
    <w:tmpl w:val="922E58D0"/>
    <w:lvl w:ilvl="0" w:tplc="9D3800BC">
      <w:start w:val="2"/>
      <w:numFmt w:val="decimal"/>
      <w:lvlText w:val="%1."/>
      <w:lvlJc w:val="left"/>
      <w:pPr>
        <w:ind w:left="644" w:hanging="360"/>
      </w:pPr>
      <w:rPr>
        <w:rFonts w:cs="Times New Roman" w:hint="default"/>
      </w:rPr>
    </w:lvl>
    <w:lvl w:ilvl="1" w:tplc="0C090019">
      <w:start w:val="1"/>
      <w:numFmt w:val="lowerLetter"/>
      <w:lvlText w:val="%2."/>
      <w:lvlJc w:val="left"/>
      <w:pPr>
        <w:ind w:left="1364" w:hanging="360"/>
      </w:pPr>
      <w:rPr>
        <w:rFonts w:cs="Times New Roman"/>
      </w:rPr>
    </w:lvl>
    <w:lvl w:ilvl="2" w:tplc="0C09001B" w:tentative="1">
      <w:start w:val="1"/>
      <w:numFmt w:val="lowerRoman"/>
      <w:lvlText w:val="%3."/>
      <w:lvlJc w:val="right"/>
      <w:pPr>
        <w:ind w:left="2084" w:hanging="180"/>
      </w:pPr>
      <w:rPr>
        <w:rFonts w:cs="Times New Roman"/>
      </w:rPr>
    </w:lvl>
    <w:lvl w:ilvl="3" w:tplc="0C09000F" w:tentative="1">
      <w:start w:val="1"/>
      <w:numFmt w:val="decimal"/>
      <w:lvlText w:val="%4."/>
      <w:lvlJc w:val="left"/>
      <w:pPr>
        <w:ind w:left="2804" w:hanging="360"/>
      </w:pPr>
      <w:rPr>
        <w:rFonts w:cs="Times New Roman"/>
      </w:rPr>
    </w:lvl>
    <w:lvl w:ilvl="4" w:tplc="0C090019" w:tentative="1">
      <w:start w:val="1"/>
      <w:numFmt w:val="lowerLetter"/>
      <w:lvlText w:val="%5."/>
      <w:lvlJc w:val="left"/>
      <w:pPr>
        <w:ind w:left="3524" w:hanging="360"/>
      </w:pPr>
      <w:rPr>
        <w:rFonts w:cs="Times New Roman"/>
      </w:rPr>
    </w:lvl>
    <w:lvl w:ilvl="5" w:tplc="0C09001B" w:tentative="1">
      <w:start w:val="1"/>
      <w:numFmt w:val="lowerRoman"/>
      <w:lvlText w:val="%6."/>
      <w:lvlJc w:val="right"/>
      <w:pPr>
        <w:ind w:left="4244" w:hanging="180"/>
      </w:pPr>
      <w:rPr>
        <w:rFonts w:cs="Times New Roman"/>
      </w:rPr>
    </w:lvl>
    <w:lvl w:ilvl="6" w:tplc="0C09000F" w:tentative="1">
      <w:start w:val="1"/>
      <w:numFmt w:val="decimal"/>
      <w:lvlText w:val="%7."/>
      <w:lvlJc w:val="left"/>
      <w:pPr>
        <w:ind w:left="4964" w:hanging="360"/>
      </w:pPr>
      <w:rPr>
        <w:rFonts w:cs="Times New Roman"/>
      </w:rPr>
    </w:lvl>
    <w:lvl w:ilvl="7" w:tplc="0C090019" w:tentative="1">
      <w:start w:val="1"/>
      <w:numFmt w:val="lowerLetter"/>
      <w:lvlText w:val="%8."/>
      <w:lvlJc w:val="left"/>
      <w:pPr>
        <w:ind w:left="5684" w:hanging="360"/>
      </w:pPr>
      <w:rPr>
        <w:rFonts w:cs="Times New Roman"/>
      </w:rPr>
    </w:lvl>
    <w:lvl w:ilvl="8" w:tplc="0C09001B" w:tentative="1">
      <w:start w:val="1"/>
      <w:numFmt w:val="lowerRoman"/>
      <w:lvlText w:val="%9."/>
      <w:lvlJc w:val="right"/>
      <w:pPr>
        <w:ind w:left="6404" w:hanging="180"/>
      </w:pPr>
      <w:rPr>
        <w:rFonts w:cs="Times New Roman"/>
      </w:rPr>
    </w:lvl>
  </w:abstractNum>
  <w:abstractNum w:abstractNumId="14">
    <w:nsid w:val="43474812"/>
    <w:multiLevelType w:val="multilevel"/>
    <w:tmpl w:val="E286B50E"/>
    <w:lvl w:ilvl="0">
      <w:start w:val="1"/>
      <w:numFmt w:val="decimal"/>
      <w:pStyle w:val="Order2"/>
      <w:lvlText w:val="%1"/>
      <w:lvlJc w:val="left"/>
      <w:pPr>
        <w:tabs>
          <w:tab w:val="num" w:pos="567"/>
        </w:tabs>
        <w:ind w:left="567" w:hanging="567"/>
      </w:pPr>
      <w:rPr>
        <w:rFonts w:cs="Times New Roman" w:hint="default"/>
        <w:b w:val="0"/>
      </w:rPr>
    </w:lvl>
    <w:lvl w:ilvl="1">
      <w:start w:val="1"/>
      <w:numFmt w:val="lowerLetter"/>
      <w:lvlText w:val="(%2)"/>
      <w:lvlJc w:val="left"/>
      <w:pPr>
        <w:tabs>
          <w:tab w:val="num" w:pos="1134"/>
        </w:tabs>
        <w:ind w:left="1134" w:hanging="567"/>
      </w:pPr>
      <w:rPr>
        <w:rFonts w:cs="Times New Roman" w:hint="default"/>
      </w:rPr>
    </w:lvl>
    <w:lvl w:ilvl="2">
      <w:start w:val="1"/>
      <w:numFmt w:val="lowerRoman"/>
      <w:lvlText w:val="(%3)"/>
      <w:lvlJc w:val="left"/>
      <w:pPr>
        <w:tabs>
          <w:tab w:val="num" w:pos="1701"/>
        </w:tabs>
        <w:ind w:left="1701" w:hanging="567"/>
      </w:pPr>
      <w:rPr>
        <w:rFonts w:cs="Times New Roman" w:hint="default"/>
      </w:rPr>
    </w:lvl>
    <w:lvl w:ilvl="3">
      <w:start w:val="1"/>
      <w:numFmt w:val="bullet"/>
      <w:lvlText w:val=""/>
      <w:lvlJc w:val="left"/>
      <w:pPr>
        <w:tabs>
          <w:tab w:val="num" w:pos="2268"/>
        </w:tabs>
        <w:ind w:left="2268" w:hanging="567"/>
      </w:pPr>
      <w:rPr>
        <w:rFonts w:ascii="Wingdings" w:hAnsi="Wingdings"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5">
    <w:nsid w:val="4BF07D27"/>
    <w:multiLevelType w:val="multilevel"/>
    <w:tmpl w:val="C5D64AB4"/>
    <w:lvl w:ilvl="0">
      <w:start w:val="1"/>
      <w:numFmt w:val="decimal"/>
      <w:lvlText w:val="%1."/>
      <w:lvlJc w:val="left"/>
      <w:pPr>
        <w:tabs>
          <w:tab w:val="num" w:pos="567"/>
        </w:tabs>
        <w:ind w:left="567" w:hanging="567"/>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nsid w:val="4C4826DE"/>
    <w:multiLevelType w:val="multilevel"/>
    <w:tmpl w:val="0AC2157E"/>
    <w:lvl w:ilvl="0">
      <w:start w:val="1"/>
      <w:numFmt w:val="decimal"/>
      <w:lvlText w:val="%1"/>
      <w:lvlJc w:val="left"/>
      <w:pPr>
        <w:tabs>
          <w:tab w:val="num" w:pos="567"/>
        </w:tabs>
        <w:ind w:left="567" w:hanging="567"/>
      </w:pPr>
      <w:rPr>
        <w:rFonts w:cs="Times New Roman" w:hint="default"/>
      </w:rPr>
    </w:lvl>
    <w:lvl w:ilvl="1">
      <w:start w:val="1"/>
      <w:numFmt w:val="lowerLetter"/>
      <w:lvlText w:val="(%2)"/>
      <w:lvlJc w:val="left"/>
      <w:pPr>
        <w:tabs>
          <w:tab w:val="num" w:pos="1134"/>
        </w:tabs>
        <w:ind w:left="1134" w:hanging="567"/>
      </w:pPr>
      <w:rPr>
        <w:rFonts w:cs="Times New Roman" w:hint="default"/>
      </w:rPr>
    </w:lvl>
    <w:lvl w:ilvl="2">
      <w:start w:val="1"/>
      <w:numFmt w:val="lowerRoman"/>
      <w:lvlText w:val="(%3)"/>
      <w:lvlJc w:val="left"/>
      <w:pPr>
        <w:tabs>
          <w:tab w:val="num" w:pos="1531"/>
        </w:tabs>
        <w:ind w:left="1531" w:hanging="397"/>
      </w:pPr>
      <w:rPr>
        <w:rFonts w:cs="Times New Roman" w:hint="default"/>
      </w:rPr>
    </w:lvl>
    <w:lvl w:ilvl="3">
      <w:start w:val="1"/>
      <w:numFmt w:val="bullet"/>
      <w:lvlText w:val=""/>
      <w:lvlJc w:val="left"/>
      <w:pPr>
        <w:tabs>
          <w:tab w:val="num" w:pos="1928"/>
        </w:tabs>
        <w:ind w:left="1928" w:hanging="397"/>
      </w:pPr>
      <w:rPr>
        <w:rFonts w:ascii="Wingdings" w:hAnsi="Wingdings"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7">
    <w:nsid w:val="54550459"/>
    <w:multiLevelType w:val="multilevel"/>
    <w:tmpl w:val="598EF216"/>
    <w:lvl w:ilvl="0">
      <w:start w:val="1"/>
      <w:numFmt w:val="decimal"/>
      <w:lvlText w:val="%1"/>
      <w:lvlJc w:val="left"/>
      <w:pPr>
        <w:tabs>
          <w:tab w:val="num" w:pos="567"/>
        </w:tabs>
        <w:ind w:left="567" w:hanging="567"/>
      </w:pPr>
      <w:rPr>
        <w:rFonts w:cs="Times New Roman" w:hint="default"/>
      </w:rPr>
    </w:lvl>
    <w:lvl w:ilvl="1">
      <w:start w:val="1"/>
      <w:numFmt w:val="bullet"/>
      <w:lvlText w:val=""/>
      <w:lvlJc w:val="left"/>
      <w:pPr>
        <w:tabs>
          <w:tab w:val="num" w:pos="1134"/>
        </w:tabs>
        <w:ind w:left="1134" w:hanging="567"/>
      </w:pPr>
      <w:rPr>
        <w:rFonts w:ascii="Symbol" w:hAnsi="Symbol"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1134"/>
        </w:tabs>
        <w:ind w:left="1134" w:hanging="567"/>
      </w:pPr>
      <w:rPr>
        <w:rFonts w:cs="Times New Roman" w:hint="default"/>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nsid w:val="5F8A777A"/>
    <w:multiLevelType w:val="multilevel"/>
    <w:tmpl w:val="4DF41220"/>
    <w:lvl w:ilvl="0">
      <w:start w:val="1"/>
      <w:numFmt w:val="lowerRoman"/>
      <w:lvlText w:val="%1."/>
      <w:lvlJc w:val="left"/>
      <w:pPr>
        <w:tabs>
          <w:tab w:val="num" w:pos="1134"/>
        </w:tabs>
        <w:ind w:left="1134" w:hanging="567"/>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nsid w:val="62F63C93"/>
    <w:multiLevelType w:val="hybridMultilevel"/>
    <w:tmpl w:val="88B27EBA"/>
    <w:lvl w:ilvl="0" w:tplc="2C7ABF0A">
      <w:start w:val="1"/>
      <w:numFmt w:val="lowerLetter"/>
      <w:lvlText w:val="(%1)"/>
      <w:lvlJc w:val="left"/>
      <w:pPr>
        <w:ind w:left="1080" w:hanging="360"/>
      </w:pPr>
      <w:rPr>
        <w:rFonts w:cs="Times New Roman" w:hint="default"/>
      </w:rPr>
    </w:lvl>
    <w:lvl w:ilvl="1" w:tplc="0C090019">
      <w:start w:val="1"/>
      <w:numFmt w:val="lowerLetter"/>
      <w:lvlText w:val="%2."/>
      <w:lvlJc w:val="left"/>
      <w:pPr>
        <w:ind w:left="1800" w:hanging="360"/>
      </w:pPr>
      <w:rPr>
        <w:rFonts w:cs="Times New Roman"/>
      </w:rPr>
    </w:lvl>
    <w:lvl w:ilvl="2" w:tplc="0C09001B" w:tentative="1">
      <w:start w:val="1"/>
      <w:numFmt w:val="lowerRoman"/>
      <w:lvlText w:val="%3."/>
      <w:lvlJc w:val="right"/>
      <w:pPr>
        <w:ind w:left="2520" w:hanging="180"/>
      </w:pPr>
      <w:rPr>
        <w:rFonts w:cs="Times New Roman"/>
      </w:rPr>
    </w:lvl>
    <w:lvl w:ilvl="3" w:tplc="0C09000F" w:tentative="1">
      <w:start w:val="1"/>
      <w:numFmt w:val="decimal"/>
      <w:lvlText w:val="%4."/>
      <w:lvlJc w:val="left"/>
      <w:pPr>
        <w:ind w:left="3240" w:hanging="360"/>
      </w:pPr>
      <w:rPr>
        <w:rFonts w:cs="Times New Roman"/>
      </w:rPr>
    </w:lvl>
    <w:lvl w:ilvl="4" w:tplc="0C090019" w:tentative="1">
      <w:start w:val="1"/>
      <w:numFmt w:val="lowerLetter"/>
      <w:lvlText w:val="%5."/>
      <w:lvlJc w:val="left"/>
      <w:pPr>
        <w:ind w:left="3960" w:hanging="360"/>
      </w:pPr>
      <w:rPr>
        <w:rFonts w:cs="Times New Roman"/>
      </w:rPr>
    </w:lvl>
    <w:lvl w:ilvl="5" w:tplc="0C09001B" w:tentative="1">
      <w:start w:val="1"/>
      <w:numFmt w:val="lowerRoman"/>
      <w:lvlText w:val="%6."/>
      <w:lvlJc w:val="right"/>
      <w:pPr>
        <w:ind w:left="4680" w:hanging="180"/>
      </w:pPr>
      <w:rPr>
        <w:rFonts w:cs="Times New Roman"/>
      </w:rPr>
    </w:lvl>
    <w:lvl w:ilvl="6" w:tplc="0C09000F" w:tentative="1">
      <w:start w:val="1"/>
      <w:numFmt w:val="decimal"/>
      <w:lvlText w:val="%7."/>
      <w:lvlJc w:val="left"/>
      <w:pPr>
        <w:ind w:left="5400" w:hanging="360"/>
      </w:pPr>
      <w:rPr>
        <w:rFonts w:cs="Times New Roman"/>
      </w:rPr>
    </w:lvl>
    <w:lvl w:ilvl="7" w:tplc="0C090019" w:tentative="1">
      <w:start w:val="1"/>
      <w:numFmt w:val="lowerLetter"/>
      <w:lvlText w:val="%8."/>
      <w:lvlJc w:val="left"/>
      <w:pPr>
        <w:ind w:left="6120" w:hanging="360"/>
      </w:pPr>
      <w:rPr>
        <w:rFonts w:cs="Times New Roman"/>
      </w:rPr>
    </w:lvl>
    <w:lvl w:ilvl="8" w:tplc="0C09001B" w:tentative="1">
      <w:start w:val="1"/>
      <w:numFmt w:val="lowerRoman"/>
      <w:lvlText w:val="%9."/>
      <w:lvlJc w:val="right"/>
      <w:pPr>
        <w:ind w:left="6840" w:hanging="180"/>
      </w:pPr>
      <w:rPr>
        <w:rFonts w:cs="Times New Roman"/>
      </w:rPr>
    </w:lvl>
  </w:abstractNum>
  <w:abstractNum w:abstractNumId="20">
    <w:nsid w:val="675B5F7E"/>
    <w:multiLevelType w:val="multilevel"/>
    <w:tmpl w:val="4008F1A2"/>
    <w:lvl w:ilvl="0">
      <w:start w:val="1"/>
      <w:numFmt w:val="decimal"/>
      <w:lvlText w:val="%1."/>
      <w:lvlJc w:val="left"/>
      <w:pPr>
        <w:tabs>
          <w:tab w:val="num" w:pos="567"/>
        </w:tabs>
        <w:ind w:left="567" w:hanging="567"/>
      </w:pPr>
      <w:rPr>
        <w:rFonts w:cs="Times New Roman" w:hint="default"/>
      </w:rPr>
    </w:lvl>
    <w:lvl w:ilvl="1">
      <w:start w:val="1"/>
      <w:numFmt w:val="bullet"/>
      <w:lvlText w:val=""/>
      <w:lvlJc w:val="left"/>
      <w:pPr>
        <w:tabs>
          <w:tab w:val="num" w:pos="1134"/>
        </w:tabs>
        <w:ind w:left="1134" w:hanging="567"/>
      </w:pPr>
      <w:rPr>
        <w:rFonts w:ascii="Symbol" w:hAnsi="Symbol"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1134"/>
        </w:tabs>
        <w:ind w:left="1134" w:hanging="567"/>
      </w:pPr>
      <w:rPr>
        <w:rFonts w:cs="Times New Roman" w:hint="default"/>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nsid w:val="6D7864F7"/>
    <w:multiLevelType w:val="hybridMultilevel"/>
    <w:tmpl w:val="4DD8D500"/>
    <w:lvl w:ilvl="0" w:tplc="98A212C8">
      <w:numFmt w:val="bullet"/>
      <w:pStyle w:val="Quote3"/>
      <w:lvlText w:val=""/>
      <w:lvlJc w:val="left"/>
      <w:pPr>
        <w:tabs>
          <w:tab w:val="num" w:pos="1701"/>
        </w:tabs>
        <w:ind w:left="1701" w:hanging="567"/>
      </w:pPr>
      <w:rPr>
        <w:rFonts w:ascii="Symbol" w:eastAsia="Times New Roman"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7E3F1C57"/>
    <w:multiLevelType w:val="multilevel"/>
    <w:tmpl w:val="DF6A8990"/>
    <w:lvl w:ilvl="0">
      <w:start w:val="1"/>
      <w:numFmt w:val="decimal"/>
      <w:lvlText w:val="%1"/>
      <w:lvlJc w:val="left"/>
      <w:pPr>
        <w:ind w:left="360" w:hanging="360"/>
      </w:pPr>
      <w:rPr>
        <w:rFonts w:cs="Times New Roman" w:hint="default"/>
      </w:rPr>
    </w:lvl>
    <w:lvl w:ilvl="1">
      <w:start w:val="1"/>
      <w:numFmt w:val="decimal"/>
      <w:lvlText w:val="%1.%2"/>
      <w:lvlJc w:val="left"/>
      <w:pPr>
        <w:ind w:left="502" w:hanging="36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1506" w:hanging="1080"/>
      </w:pPr>
      <w:rPr>
        <w:rFonts w:cs="Times New Roman" w:hint="default"/>
      </w:rPr>
    </w:lvl>
    <w:lvl w:ilvl="4">
      <w:start w:val="1"/>
      <w:numFmt w:val="decimal"/>
      <w:lvlText w:val="%1.%2.%3.%4.%5"/>
      <w:lvlJc w:val="left"/>
      <w:pPr>
        <w:ind w:left="1648" w:hanging="1080"/>
      </w:pPr>
      <w:rPr>
        <w:rFonts w:cs="Times New Roman" w:hint="default"/>
      </w:rPr>
    </w:lvl>
    <w:lvl w:ilvl="5">
      <w:start w:val="1"/>
      <w:numFmt w:val="decimal"/>
      <w:lvlText w:val="%1.%2.%3.%4.%5.%6"/>
      <w:lvlJc w:val="left"/>
      <w:pPr>
        <w:ind w:left="2150" w:hanging="1440"/>
      </w:pPr>
      <w:rPr>
        <w:rFonts w:cs="Times New Roman" w:hint="default"/>
      </w:rPr>
    </w:lvl>
    <w:lvl w:ilvl="6">
      <w:start w:val="1"/>
      <w:numFmt w:val="decimal"/>
      <w:lvlText w:val="%1.%2.%3.%4.%5.%6.%7"/>
      <w:lvlJc w:val="left"/>
      <w:pPr>
        <w:ind w:left="2292" w:hanging="1440"/>
      </w:pPr>
      <w:rPr>
        <w:rFonts w:cs="Times New Roman" w:hint="default"/>
      </w:rPr>
    </w:lvl>
    <w:lvl w:ilvl="7">
      <w:start w:val="1"/>
      <w:numFmt w:val="decimal"/>
      <w:lvlText w:val="%1.%2.%3.%4.%5.%6.%7.%8"/>
      <w:lvlJc w:val="left"/>
      <w:pPr>
        <w:ind w:left="2794" w:hanging="1800"/>
      </w:pPr>
      <w:rPr>
        <w:rFonts w:cs="Times New Roman" w:hint="default"/>
      </w:rPr>
    </w:lvl>
    <w:lvl w:ilvl="8">
      <w:start w:val="1"/>
      <w:numFmt w:val="decimal"/>
      <w:lvlText w:val="%1.%2.%3.%4.%5.%6.%7.%8.%9"/>
      <w:lvlJc w:val="left"/>
      <w:pPr>
        <w:ind w:left="2936" w:hanging="1800"/>
      </w:pPr>
      <w:rPr>
        <w:rFonts w:cs="Times New Roman" w:hint="default"/>
      </w:rPr>
    </w:lvl>
  </w:abstractNum>
  <w:num w:numId="1">
    <w:abstractNumId w:val="3"/>
  </w:num>
  <w:num w:numId="2">
    <w:abstractNumId w:val="8"/>
  </w:num>
  <w:num w:numId="3">
    <w:abstractNumId w:val="15"/>
  </w:num>
  <w:num w:numId="4">
    <w:abstractNumId w:val="5"/>
  </w:num>
  <w:num w:numId="5">
    <w:abstractNumId w:val="20"/>
  </w:num>
  <w:num w:numId="6">
    <w:abstractNumId w:val="14"/>
  </w:num>
  <w:num w:numId="7">
    <w:abstractNumId w:val="14"/>
  </w:num>
  <w:num w:numId="8">
    <w:abstractNumId w:val="7"/>
  </w:num>
  <w:num w:numId="9">
    <w:abstractNumId w:val="4"/>
  </w:num>
  <w:num w:numId="10">
    <w:abstractNumId w:val="17"/>
  </w:num>
  <w:num w:numId="11">
    <w:abstractNumId w:val="2"/>
  </w:num>
  <w:num w:numId="12">
    <w:abstractNumId w:val="18"/>
  </w:num>
  <w:num w:numId="13">
    <w:abstractNumId w:val="6"/>
  </w:num>
  <w:num w:numId="14">
    <w:abstractNumId w:val="11"/>
  </w:num>
  <w:num w:numId="15">
    <w:abstractNumId w:val="16"/>
  </w:num>
  <w:num w:numId="16">
    <w:abstractNumId w:val="10"/>
  </w:num>
  <w:num w:numId="17">
    <w:abstractNumId w:val="1"/>
  </w:num>
  <w:num w:numId="18">
    <w:abstractNumId w:val="21"/>
  </w:num>
  <w:num w:numId="19">
    <w:abstractNumId w:val="22"/>
  </w:num>
  <w:num w:numId="20">
    <w:abstractNumId w:val="9"/>
  </w:num>
  <w:num w:numId="21">
    <w:abstractNumId w:val="12"/>
  </w:num>
  <w:num w:numId="22">
    <w:abstractNumId w:val="19"/>
  </w:num>
  <w:num w:numId="23">
    <w:abstractNumId w:val="13"/>
  </w:num>
  <w:num w:numId="24">
    <w:abstractNumId w:val="0"/>
  </w:num>
  <w:num w:numId="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FB7EA725-3619-4140-B977-7FDCB227C85D}"/>
    <w:docVar w:name="dgnword-eventsink" w:val="8642720"/>
  </w:docVars>
  <w:rsids>
    <w:rsidRoot w:val="00D1466C"/>
    <w:rsid w:val="00003458"/>
    <w:rsid w:val="000429D7"/>
    <w:rsid w:val="000500BB"/>
    <w:rsid w:val="0006243F"/>
    <w:rsid w:val="000C4061"/>
    <w:rsid w:val="000F253E"/>
    <w:rsid w:val="001046C8"/>
    <w:rsid w:val="00105C7A"/>
    <w:rsid w:val="00113336"/>
    <w:rsid w:val="001551A0"/>
    <w:rsid w:val="00176065"/>
    <w:rsid w:val="00177872"/>
    <w:rsid w:val="00196004"/>
    <w:rsid w:val="001A1490"/>
    <w:rsid w:val="002051DD"/>
    <w:rsid w:val="00251DF4"/>
    <w:rsid w:val="002851B4"/>
    <w:rsid w:val="002917C7"/>
    <w:rsid w:val="002C3B1D"/>
    <w:rsid w:val="002D4C34"/>
    <w:rsid w:val="002F1DFE"/>
    <w:rsid w:val="00313543"/>
    <w:rsid w:val="00314BF4"/>
    <w:rsid w:val="003651E3"/>
    <w:rsid w:val="00377B04"/>
    <w:rsid w:val="003E1090"/>
    <w:rsid w:val="003E4370"/>
    <w:rsid w:val="00482EAA"/>
    <w:rsid w:val="00484CF9"/>
    <w:rsid w:val="0049286B"/>
    <w:rsid w:val="004A2F22"/>
    <w:rsid w:val="004A59DB"/>
    <w:rsid w:val="004B16E7"/>
    <w:rsid w:val="00552444"/>
    <w:rsid w:val="0057056D"/>
    <w:rsid w:val="005809DA"/>
    <w:rsid w:val="00586579"/>
    <w:rsid w:val="005C6DD7"/>
    <w:rsid w:val="005E4A00"/>
    <w:rsid w:val="005F252D"/>
    <w:rsid w:val="006472FB"/>
    <w:rsid w:val="006F21A1"/>
    <w:rsid w:val="007014FE"/>
    <w:rsid w:val="0070718C"/>
    <w:rsid w:val="00730303"/>
    <w:rsid w:val="007457EA"/>
    <w:rsid w:val="00746370"/>
    <w:rsid w:val="0079750A"/>
    <w:rsid w:val="00821773"/>
    <w:rsid w:val="00826DC3"/>
    <w:rsid w:val="00843E0E"/>
    <w:rsid w:val="00854ADA"/>
    <w:rsid w:val="00866166"/>
    <w:rsid w:val="00875DB2"/>
    <w:rsid w:val="008B209B"/>
    <w:rsid w:val="00956905"/>
    <w:rsid w:val="009A5FB3"/>
    <w:rsid w:val="00A12581"/>
    <w:rsid w:val="00A270F7"/>
    <w:rsid w:val="00A302EF"/>
    <w:rsid w:val="00AB4FBA"/>
    <w:rsid w:val="00B3336C"/>
    <w:rsid w:val="00BA3E1F"/>
    <w:rsid w:val="00BC0EC3"/>
    <w:rsid w:val="00BE759F"/>
    <w:rsid w:val="00C32B7A"/>
    <w:rsid w:val="00C67C84"/>
    <w:rsid w:val="00C748EC"/>
    <w:rsid w:val="00C77375"/>
    <w:rsid w:val="00C82C69"/>
    <w:rsid w:val="00CA4F16"/>
    <w:rsid w:val="00CB4504"/>
    <w:rsid w:val="00CB7E75"/>
    <w:rsid w:val="00D1466C"/>
    <w:rsid w:val="00D302C8"/>
    <w:rsid w:val="00D870DD"/>
    <w:rsid w:val="00DD6281"/>
    <w:rsid w:val="00E02F9F"/>
    <w:rsid w:val="00E46959"/>
    <w:rsid w:val="00E71789"/>
    <w:rsid w:val="00E771DC"/>
    <w:rsid w:val="00E93195"/>
    <w:rsid w:val="00E967F4"/>
    <w:rsid w:val="00EA2E5E"/>
    <w:rsid w:val="00EE0A39"/>
    <w:rsid w:val="00F14261"/>
    <w:rsid w:val="00F64FDA"/>
    <w:rsid w:val="00F86871"/>
    <w:rsid w:val="00F92AE6"/>
    <w:rsid w:val="00FB6011"/>
    <w:rsid w:val="00FF4C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40" w:lineRule="auto"/>
    </w:pPr>
    <w:rPr>
      <w:sz w:val="26"/>
      <w:szCs w:val="26"/>
      <w:lang w:val="en-AU"/>
    </w:rPr>
  </w:style>
  <w:style w:type="paragraph" w:styleId="Heading1">
    <w:name w:val="heading 1"/>
    <w:basedOn w:val="Normal"/>
    <w:next w:val="Para1"/>
    <w:link w:val="Heading1Char"/>
    <w:uiPriority w:val="99"/>
    <w:qFormat/>
    <w:pPr>
      <w:keepNext/>
      <w:spacing w:before="240" w:after="120"/>
      <w:jc w:val="center"/>
      <w:outlineLvl w:val="0"/>
    </w:pPr>
    <w:rPr>
      <w:rFonts w:ascii="Arial" w:hAnsi="Arial"/>
      <w:b/>
      <w:bCs/>
      <w:caps/>
      <w:sz w:val="24"/>
      <w:szCs w:val="24"/>
    </w:rPr>
  </w:style>
  <w:style w:type="paragraph" w:styleId="Heading2">
    <w:name w:val="heading 2"/>
    <w:basedOn w:val="Heading1"/>
    <w:next w:val="Para1"/>
    <w:link w:val="Heading2Char"/>
    <w:uiPriority w:val="99"/>
    <w:qFormat/>
    <w:pPr>
      <w:jc w:val="left"/>
      <w:outlineLvl w:val="1"/>
    </w:pPr>
    <w:rPr>
      <w:bCs w:val="0"/>
      <w:iCs/>
    </w:rPr>
  </w:style>
  <w:style w:type="paragraph" w:styleId="Heading3">
    <w:name w:val="heading 3"/>
    <w:basedOn w:val="Heading2"/>
    <w:next w:val="Para1"/>
    <w:link w:val="Heading3Char"/>
    <w:uiPriority w:val="99"/>
    <w:qFormat/>
    <w:pPr>
      <w:outlineLvl w:val="2"/>
    </w:pPr>
    <w:rPr>
      <w:bCs/>
      <w:caps w:val="0"/>
    </w:rPr>
  </w:style>
  <w:style w:type="paragraph" w:styleId="Heading4">
    <w:name w:val="heading 4"/>
    <w:basedOn w:val="Heading3"/>
    <w:next w:val="Normal"/>
    <w:link w:val="Heading4Char"/>
    <w:uiPriority w:val="99"/>
    <w:qFormat/>
    <w:pPr>
      <w:outlineLvl w:val="3"/>
    </w:pPr>
    <w:rPr>
      <w:b w:val="0"/>
      <w:bCs w:val="0"/>
      <w:szCs w:val="28"/>
      <w:u w:val="single"/>
    </w:rPr>
  </w:style>
  <w:style w:type="paragraph" w:styleId="Heading5">
    <w:name w:val="heading 5"/>
    <w:basedOn w:val="Heading4"/>
    <w:next w:val="Para1"/>
    <w:link w:val="Heading5Char"/>
    <w:uiPriority w:val="99"/>
    <w:qFormat/>
    <w:pPr>
      <w:spacing w:after="60"/>
      <w:outlineLvl w:val="4"/>
    </w:pPr>
    <w:rPr>
      <w:bCs/>
      <w:iCs w:val="0"/>
      <w:u w:val="none"/>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lang w:val="en-AU" w:eastAsia="x-none"/>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lang w:val="en-AU" w:eastAsia="x-none"/>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lang w:val="en-AU" w:eastAsia="x-none"/>
    </w:rPr>
  </w:style>
  <w:style w:type="character" w:customStyle="1" w:styleId="Heading4Char">
    <w:name w:val="Heading 4 Char"/>
    <w:basedOn w:val="DefaultParagraphFont"/>
    <w:link w:val="Heading4"/>
    <w:uiPriority w:val="9"/>
    <w:semiHidden/>
    <w:locked/>
    <w:rPr>
      <w:rFonts w:asciiTheme="minorHAnsi" w:eastAsiaTheme="minorEastAsia" w:hAnsiTheme="minorHAnsi" w:cs="Times New Roman"/>
      <w:b/>
      <w:bCs/>
      <w:sz w:val="28"/>
      <w:szCs w:val="28"/>
      <w:lang w:val="en-AU" w:eastAsia="x-none"/>
    </w:rPr>
  </w:style>
  <w:style w:type="character" w:customStyle="1" w:styleId="Heading5Char">
    <w:name w:val="Heading 5 Char"/>
    <w:basedOn w:val="DefaultParagraphFont"/>
    <w:link w:val="Heading5"/>
    <w:uiPriority w:val="9"/>
    <w:semiHidden/>
    <w:locked/>
    <w:rPr>
      <w:rFonts w:asciiTheme="minorHAnsi" w:eastAsiaTheme="minorEastAsia" w:hAnsiTheme="minorHAnsi" w:cs="Times New Roman"/>
      <w:b/>
      <w:bCs/>
      <w:i/>
      <w:iCs/>
      <w:sz w:val="26"/>
      <w:szCs w:val="26"/>
      <w:lang w:val="en-AU" w:eastAsia="x-none"/>
    </w:rPr>
  </w:style>
  <w:style w:type="paragraph" w:styleId="Footer">
    <w:name w:val="footer"/>
    <w:basedOn w:val="Normal"/>
    <w:link w:val="FooterChar"/>
    <w:uiPriority w:val="99"/>
    <w:pPr>
      <w:tabs>
        <w:tab w:val="center" w:pos="4896"/>
        <w:tab w:val="right" w:pos="9792"/>
      </w:tabs>
      <w:spacing w:before="60"/>
    </w:pPr>
    <w:rPr>
      <w:rFonts w:ascii="Arial" w:hAnsi="Arial"/>
      <w:sz w:val="20"/>
      <w:szCs w:val="20"/>
    </w:rPr>
  </w:style>
  <w:style w:type="character" w:customStyle="1" w:styleId="FooterChar">
    <w:name w:val="Footer Char"/>
    <w:basedOn w:val="DefaultParagraphFont"/>
    <w:link w:val="Footer"/>
    <w:uiPriority w:val="99"/>
    <w:semiHidden/>
    <w:locked/>
    <w:rPr>
      <w:rFonts w:cs="Times New Roman"/>
      <w:sz w:val="26"/>
      <w:szCs w:val="26"/>
      <w:lang w:val="en-AU" w:eastAsia="x-none"/>
    </w:rPr>
  </w:style>
  <w:style w:type="character" w:styleId="PageNumber">
    <w:name w:val="page number"/>
    <w:basedOn w:val="DefaultParagraphFont"/>
    <w:uiPriority w:val="99"/>
    <w:rPr>
      <w:rFonts w:cs="Times New Roman"/>
    </w:rPr>
  </w:style>
  <w:style w:type="paragraph" w:customStyle="1" w:styleId="Para1">
    <w:name w:val="Para 1"/>
    <w:basedOn w:val="Normal"/>
    <w:uiPriority w:val="99"/>
    <w:pPr>
      <w:numPr>
        <w:numId w:val="11"/>
      </w:numPr>
      <w:spacing w:after="120" w:line="300" w:lineRule="atLeast"/>
    </w:pPr>
  </w:style>
  <w:style w:type="paragraph" w:customStyle="1" w:styleId="Para2">
    <w:name w:val="Para 2"/>
    <w:basedOn w:val="Para1"/>
    <w:uiPriority w:val="99"/>
    <w:pPr>
      <w:numPr>
        <w:numId w:val="0"/>
      </w:numPr>
      <w:ind w:left="567"/>
    </w:pPr>
  </w:style>
  <w:style w:type="paragraph" w:customStyle="1" w:styleId="Catchwords">
    <w:name w:val="Catchwords"/>
    <w:basedOn w:val="Normal"/>
    <w:uiPriority w:val="99"/>
    <w:pPr>
      <w:spacing w:before="100" w:after="100"/>
      <w:jc w:val="both"/>
    </w:pPr>
    <w:rPr>
      <w:sz w:val="20"/>
    </w:rPr>
  </w:style>
  <w:style w:type="paragraph" w:customStyle="1" w:styleId="Quote1">
    <w:name w:val="Quote 1"/>
    <w:basedOn w:val="Normal"/>
    <w:uiPriority w:val="99"/>
    <w:pPr>
      <w:spacing w:after="120"/>
      <w:ind w:left="1134" w:right="567"/>
    </w:pPr>
    <w:rPr>
      <w:sz w:val="24"/>
      <w:szCs w:val="24"/>
    </w:rPr>
  </w:style>
  <w:style w:type="paragraph" w:customStyle="1" w:styleId="Quote2">
    <w:name w:val="Quote 2"/>
    <w:basedOn w:val="Quote1"/>
    <w:uiPriority w:val="99"/>
    <w:pPr>
      <w:ind w:left="1701" w:hanging="567"/>
    </w:pPr>
  </w:style>
  <w:style w:type="paragraph" w:customStyle="1" w:styleId="Para5">
    <w:name w:val="Para 5"/>
    <w:basedOn w:val="Para2"/>
    <w:uiPriority w:val="99"/>
    <w:pPr>
      <w:numPr>
        <w:numId w:val="16"/>
      </w:numPr>
    </w:pPr>
  </w:style>
  <w:style w:type="paragraph" w:customStyle="1" w:styleId="Para4">
    <w:name w:val="Para 4"/>
    <w:basedOn w:val="Para2"/>
    <w:uiPriority w:val="99"/>
    <w:pPr>
      <w:numPr>
        <w:numId w:val="1"/>
      </w:numPr>
    </w:pPr>
  </w:style>
  <w:style w:type="paragraph" w:customStyle="1" w:styleId="TitlePage1">
    <w:name w:val="Title Page 1"/>
    <w:basedOn w:val="Normal"/>
    <w:next w:val="Normal"/>
    <w:uiPriority w:val="99"/>
    <w:pPr>
      <w:spacing w:after="240"/>
    </w:pPr>
    <w:rPr>
      <w:rFonts w:ascii="Arial" w:hAnsi="Arial"/>
      <w:b/>
      <w:caps/>
      <w:sz w:val="24"/>
      <w:szCs w:val="24"/>
    </w:rPr>
  </w:style>
  <w:style w:type="paragraph" w:customStyle="1" w:styleId="TitlePage2">
    <w:name w:val="Title Page 2"/>
    <w:basedOn w:val="TitlePage1"/>
    <w:next w:val="Normal"/>
    <w:uiPriority w:val="99"/>
    <w:pPr>
      <w:spacing w:before="120" w:after="80"/>
    </w:pPr>
  </w:style>
  <w:style w:type="paragraph" w:customStyle="1" w:styleId="TitlePagetext">
    <w:name w:val="Title Page text"/>
    <w:basedOn w:val="Normal"/>
    <w:uiPriority w:val="99"/>
    <w:pPr>
      <w:spacing w:before="80" w:after="100"/>
    </w:p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semiHidden/>
    <w:locked/>
    <w:rPr>
      <w:rFonts w:cs="Times New Roman"/>
      <w:sz w:val="26"/>
      <w:szCs w:val="26"/>
      <w:lang w:val="en-AU" w:eastAsia="x-none"/>
    </w:rPr>
  </w:style>
  <w:style w:type="paragraph" w:customStyle="1" w:styleId="NumberedOrder">
    <w:name w:val="Numbered Order"/>
    <w:basedOn w:val="Normal"/>
    <w:uiPriority w:val="99"/>
    <w:pPr>
      <w:spacing w:after="120" w:line="300" w:lineRule="atLeast"/>
    </w:pPr>
  </w:style>
  <w:style w:type="paragraph" w:styleId="FootnoteText">
    <w:name w:val="footnote text"/>
    <w:basedOn w:val="Normal"/>
    <w:link w:val="FootnoteTextChar"/>
    <w:uiPriority w:val="99"/>
    <w:semiHidden/>
    <w:pPr>
      <w:ind w:left="567" w:hanging="567"/>
    </w:pPr>
    <w:rPr>
      <w:sz w:val="20"/>
      <w:szCs w:val="20"/>
    </w:rPr>
  </w:style>
  <w:style w:type="character" w:customStyle="1" w:styleId="FootnoteTextChar">
    <w:name w:val="Footnote Text Char"/>
    <w:basedOn w:val="DefaultParagraphFont"/>
    <w:link w:val="FootnoteText"/>
    <w:uiPriority w:val="99"/>
    <w:semiHidden/>
    <w:locked/>
    <w:rPr>
      <w:rFonts w:cs="Times New Roman"/>
      <w:sz w:val="20"/>
      <w:szCs w:val="20"/>
      <w:lang w:val="en-AU" w:eastAsia="x-none"/>
    </w:rPr>
  </w:style>
  <w:style w:type="character" w:styleId="FootnoteReference">
    <w:name w:val="footnote reference"/>
    <w:basedOn w:val="DefaultParagraphFont"/>
    <w:uiPriority w:val="99"/>
    <w:semiHidden/>
    <w:rPr>
      <w:rFonts w:cs="Times New Roman"/>
      <w:vertAlign w:val="superscript"/>
    </w:rPr>
  </w:style>
  <w:style w:type="paragraph" w:customStyle="1" w:styleId="Order1">
    <w:name w:val="Order 1"/>
    <w:basedOn w:val="Normal"/>
    <w:uiPriority w:val="99"/>
    <w:pPr>
      <w:spacing w:after="120"/>
    </w:pPr>
  </w:style>
  <w:style w:type="paragraph" w:customStyle="1" w:styleId="Order2">
    <w:name w:val="Order 2"/>
    <w:basedOn w:val="Order1"/>
    <w:uiPriority w:val="99"/>
    <w:pPr>
      <w:numPr>
        <w:numId w:val="7"/>
      </w:numPr>
      <w:spacing w:line="300" w:lineRule="atLeast"/>
    </w:pPr>
  </w:style>
  <w:style w:type="paragraph" w:customStyle="1" w:styleId="StyleTitlePagetextRight">
    <w:name w:val="Style Title Page text + Right"/>
    <w:basedOn w:val="TitlePagetext"/>
    <w:uiPriority w:val="99"/>
    <w:pPr>
      <w:jc w:val="right"/>
    </w:pPr>
    <w:rPr>
      <w:szCs w:val="20"/>
    </w:rPr>
  </w:style>
  <w:style w:type="paragraph" w:customStyle="1" w:styleId="Para3">
    <w:name w:val="Para 3"/>
    <w:basedOn w:val="Para2"/>
    <w:uiPriority w:val="99"/>
    <w:pPr>
      <w:numPr>
        <w:numId w:val="9"/>
      </w:numPr>
    </w:pPr>
  </w:style>
  <w:style w:type="character" w:customStyle="1" w:styleId="recommendstepChar">
    <w:name w:val="recommend step Char"/>
    <w:basedOn w:val="DefaultParagraphFont"/>
    <w:link w:val="recommendstep"/>
    <w:uiPriority w:val="99"/>
    <w:locked/>
    <w:rsid w:val="00482EAA"/>
    <w:rPr>
      <w:rFonts w:ascii="Arial" w:hAnsi="Arial" w:cs="Times New Roman"/>
      <w:b/>
      <w:sz w:val="24"/>
      <w:lang w:val="en-GB" w:eastAsia="x-none" w:bidi="ar-SA"/>
    </w:rPr>
  </w:style>
  <w:style w:type="paragraph" w:customStyle="1" w:styleId="Quote3">
    <w:name w:val="Quote 3"/>
    <w:basedOn w:val="Quote2"/>
    <w:uiPriority w:val="99"/>
    <w:pPr>
      <w:numPr>
        <w:numId w:val="18"/>
      </w:numPr>
    </w:pPr>
  </w:style>
  <w:style w:type="paragraph" w:customStyle="1" w:styleId="TitlePage3">
    <w:name w:val="Title Page 3"/>
    <w:basedOn w:val="TitlePage2"/>
    <w:uiPriority w:val="99"/>
    <w:pPr>
      <w:spacing w:before="20" w:after="0"/>
      <w:jc w:val="right"/>
    </w:pPr>
    <w:rPr>
      <w:b w:val="0"/>
      <w:sz w:val="16"/>
    </w:rPr>
  </w:style>
  <w:style w:type="paragraph" w:customStyle="1" w:styleId="recommendstep">
    <w:name w:val="recommend step"/>
    <w:basedOn w:val="Normal"/>
    <w:link w:val="recommendstepChar"/>
    <w:uiPriority w:val="99"/>
    <w:rsid w:val="00482EAA"/>
    <w:pPr>
      <w:spacing w:before="240"/>
      <w:ind w:left="851"/>
      <w:jc w:val="both"/>
    </w:pPr>
    <w:rPr>
      <w:rFonts w:ascii="Arial" w:hAnsi="Arial"/>
      <w:b/>
      <w:sz w:val="24"/>
      <w:szCs w:val="20"/>
      <w:lang w:val="en-GB"/>
    </w:rPr>
  </w:style>
  <w:style w:type="paragraph" w:styleId="BodyTextIndent">
    <w:name w:val="Body Text Indent"/>
    <w:basedOn w:val="Normal"/>
    <w:link w:val="BodyTextIndentChar"/>
    <w:uiPriority w:val="99"/>
    <w:rsid w:val="00EE0A39"/>
    <w:pPr>
      <w:ind w:left="720"/>
    </w:pPr>
    <w:rPr>
      <w:rFonts w:ascii="Arial" w:hAnsi="Arial"/>
      <w:b/>
      <w:sz w:val="22"/>
      <w:szCs w:val="20"/>
      <w:lang w:eastAsia="en-AU"/>
    </w:rPr>
  </w:style>
  <w:style w:type="character" w:customStyle="1" w:styleId="BodyTextIndentChar">
    <w:name w:val="Body Text Indent Char"/>
    <w:basedOn w:val="DefaultParagraphFont"/>
    <w:link w:val="BodyTextIndent"/>
    <w:uiPriority w:val="99"/>
    <w:locked/>
    <w:rsid w:val="00EE0A39"/>
    <w:rPr>
      <w:rFonts w:ascii="Arial" w:hAnsi="Arial" w:cs="Times New Roman"/>
      <w:b/>
      <w:sz w:val="22"/>
      <w:lang w:val="en-AU" w:eastAsia="en-AU"/>
    </w:rPr>
  </w:style>
  <w:style w:type="paragraph" w:styleId="Title">
    <w:name w:val="Title"/>
    <w:basedOn w:val="Normal"/>
    <w:next w:val="Normal"/>
    <w:link w:val="TitleChar"/>
    <w:uiPriority w:val="99"/>
    <w:qFormat/>
    <w:rsid w:val="00EE0A39"/>
    <w:pPr>
      <w:spacing w:before="240" w:after="60"/>
      <w:jc w:val="center"/>
      <w:outlineLvl w:val="0"/>
    </w:pPr>
    <w:rPr>
      <w:rFonts w:ascii="Cambria" w:hAnsi="Cambria"/>
      <w:b/>
      <w:bCs/>
      <w:kern w:val="28"/>
      <w:sz w:val="32"/>
      <w:szCs w:val="32"/>
      <w:lang w:eastAsia="en-AU"/>
    </w:rPr>
  </w:style>
  <w:style w:type="character" w:customStyle="1" w:styleId="TitleChar">
    <w:name w:val="Title Char"/>
    <w:basedOn w:val="DefaultParagraphFont"/>
    <w:link w:val="Title"/>
    <w:uiPriority w:val="99"/>
    <w:locked/>
    <w:rsid w:val="00EE0A39"/>
    <w:rPr>
      <w:rFonts w:ascii="Cambria" w:hAnsi="Cambria" w:cs="Times New Roman"/>
      <w:b/>
      <w:kern w:val="28"/>
      <w:sz w:val="32"/>
      <w:lang w:val="en-AU" w:eastAsia="en-AU"/>
    </w:rPr>
  </w:style>
  <w:style w:type="paragraph" w:styleId="BodyText">
    <w:name w:val="Body Text"/>
    <w:basedOn w:val="Normal"/>
    <w:link w:val="BodyTextChar"/>
    <w:uiPriority w:val="99"/>
    <w:rsid w:val="00EE0A39"/>
    <w:rPr>
      <w:rFonts w:ascii="Arial" w:hAnsi="Arial"/>
      <w:sz w:val="22"/>
      <w:szCs w:val="20"/>
      <w:lang w:val="en-US" w:eastAsia="en-AU"/>
    </w:rPr>
  </w:style>
  <w:style w:type="character" w:customStyle="1" w:styleId="BodyTextChar">
    <w:name w:val="Body Text Char"/>
    <w:basedOn w:val="DefaultParagraphFont"/>
    <w:link w:val="BodyText"/>
    <w:uiPriority w:val="99"/>
    <w:locked/>
    <w:rsid w:val="00EE0A39"/>
    <w:rPr>
      <w:rFonts w:ascii="Arial" w:hAnsi="Arial" w:cs="Times New Roman"/>
      <w:sz w:val="22"/>
      <w:lang w:val="en-US" w:eastAsia="en-AU"/>
    </w:rPr>
  </w:style>
  <w:style w:type="paragraph" w:styleId="BodyTextIndent2">
    <w:name w:val="Body Text Indent 2"/>
    <w:basedOn w:val="Normal"/>
    <w:link w:val="BodyTextIndent2Char"/>
    <w:uiPriority w:val="99"/>
    <w:rsid w:val="00EE0A39"/>
    <w:pPr>
      <w:ind w:left="720"/>
    </w:pPr>
    <w:rPr>
      <w:rFonts w:ascii="Arial" w:hAnsi="Arial"/>
      <w:sz w:val="22"/>
      <w:szCs w:val="20"/>
      <w:lang w:val="en-US" w:eastAsia="en-AU"/>
    </w:rPr>
  </w:style>
  <w:style w:type="character" w:customStyle="1" w:styleId="BodyTextIndent2Char">
    <w:name w:val="Body Text Indent 2 Char"/>
    <w:basedOn w:val="DefaultParagraphFont"/>
    <w:link w:val="BodyTextIndent2"/>
    <w:uiPriority w:val="99"/>
    <w:locked/>
    <w:rsid w:val="00EE0A39"/>
    <w:rPr>
      <w:rFonts w:ascii="Arial" w:hAnsi="Arial" w:cs="Times New Roman"/>
      <w:sz w:val="22"/>
      <w:lang w:val="en-US" w:eastAsia="en-AU"/>
    </w:rPr>
  </w:style>
  <w:style w:type="paragraph" w:styleId="NormalWeb">
    <w:name w:val="Normal (Web)"/>
    <w:basedOn w:val="Normal"/>
    <w:uiPriority w:val="99"/>
    <w:rsid w:val="00843E0E"/>
    <w:pPr>
      <w:spacing w:before="100" w:beforeAutospacing="1" w:after="100" w:afterAutospacing="1"/>
    </w:pPr>
    <w:rPr>
      <w:color w:val="000000"/>
      <w:sz w:val="24"/>
      <w:szCs w:val="24"/>
      <w:lang w:eastAsia="en-AU"/>
    </w:rPr>
  </w:style>
  <w:style w:type="paragraph" w:styleId="BalloonText">
    <w:name w:val="Balloon Text"/>
    <w:basedOn w:val="Normal"/>
    <w:link w:val="BalloonTextChar"/>
    <w:uiPriority w:val="99"/>
    <w:semiHidden/>
    <w:unhideWhenUsed/>
    <w:rsid w:val="00105C7A"/>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05C7A"/>
    <w:rPr>
      <w:rFonts w:ascii="Tahoma" w:hAnsi="Tahoma" w:cs="Tahoma"/>
      <w:sz w:val="16"/>
      <w:szCs w:val="16"/>
      <w:lang w:val="en-AU"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40" w:lineRule="auto"/>
    </w:pPr>
    <w:rPr>
      <w:sz w:val="26"/>
      <w:szCs w:val="26"/>
      <w:lang w:val="en-AU"/>
    </w:rPr>
  </w:style>
  <w:style w:type="paragraph" w:styleId="Heading1">
    <w:name w:val="heading 1"/>
    <w:basedOn w:val="Normal"/>
    <w:next w:val="Para1"/>
    <w:link w:val="Heading1Char"/>
    <w:uiPriority w:val="99"/>
    <w:qFormat/>
    <w:pPr>
      <w:keepNext/>
      <w:spacing w:before="240" w:after="120"/>
      <w:jc w:val="center"/>
      <w:outlineLvl w:val="0"/>
    </w:pPr>
    <w:rPr>
      <w:rFonts w:ascii="Arial" w:hAnsi="Arial"/>
      <w:b/>
      <w:bCs/>
      <w:caps/>
      <w:sz w:val="24"/>
      <w:szCs w:val="24"/>
    </w:rPr>
  </w:style>
  <w:style w:type="paragraph" w:styleId="Heading2">
    <w:name w:val="heading 2"/>
    <w:basedOn w:val="Heading1"/>
    <w:next w:val="Para1"/>
    <w:link w:val="Heading2Char"/>
    <w:uiPriority w:val="99"/>
    <w:qFormat/>
    <w:pPr>
      <w:jc w:val="left"/>
      <w:outlineLvl w:val="1"/>
    </w:pPr>
    <w:rPr>
      <w:bCs w:val="0"/>
      <w:iCs/>
    </w:rPr>
  </w:style>
  <w:style w:type="paragraph" w:styleId="Heading3">
    <w:name w:val="heading 3"/>
    <w:basedOn w:val="Heading2"/>
    <w:next w:val="Para1"/>
    <w:link w:val="Heading3Char"/>
    <w:uiPriority w:val="99"/>
    <w:qFormat/>
    <w:pPr>
      <w:outlineLvl w:val="2"/>
    </w:pPr>
    <w:rPr>
      <w:bCs/>
      <w:caps w:val="0"/>
    </w:rPr>
  </w:style>
  <w:style w:type="paragraph" w:styleId="Heading4">
    <w:name w:val="heading 4"/>
    <w:basedOn w:val="Heading3"/>
    <w:next w:val="Normal"/>
    <w:link w:val="Heading4Char"/>
    <w:uiPriority w:val="99"/>
    <w:qFormat/>
    <w:pPr>
      <w:outlineLvl w:val="3"/>
    </w:pPr>
    <w:rPr>
      <w:b w:val="0"/>
      <w:bCs w:val="0"/>
      <w:szCs w:val="28"/>
      <w:u w:val="single"/>
    </w:rPr>
  </w:style>
  <w:style w:type="paragraph" w:styleId="Heading5">
    <w:name w:val="heading 5"/>
    <w:basedOn w:val="Heading4"/>
    <w:next w:val="Para1"/>
    <w:link w:val="Heading5Char"/>
    <w:uiPriority w:val="99"/>
    <w:qFormat/>
    <w:pPr>
      <w:spacing w:after="60"/>
      <w:outlineLvl w:val="4"/>
    </w:pPr>
    <w:rPr>
      <w:bCs/>
      <w:iCs w:val="0"/>
      <w:u w:val="none"/>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lang w:val="en-AU" w:eastAsia="x-none"/>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lang w:val="en-AU" w:eastAsia="x-none"/>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lang w:val="en-AU" w:eastAsia="x-none"/>
    </w:rPr>
  </w:style>
  <w:style w:type="character" w:customStyle="1" w:styleId="Heading4Char">
    <w:name w:val="Heading 4 Char"/>
    <w:basedOn w:val="DefaultParagraphFont"/>
    <w:link w:val="Heading4"/>
    <w:uiPriority w:val="9"/>
    <w:semiHidden/>
    <w:locked/>
    <w:rPr>
      <w:rFonts w:asciiTheme="minorHAnsi" w:eastAsiaTheme="minorEastAsia" w:hAnsiTheme="minorHAnsi" w:cs="Times New Roman"/>
      <w:b/>
      <w:bCs/>
      <w:sz w:val="28"/>
      <w:szCs w:val="28"/>
      <w:lang w:val="en-AU" w:eastAsia="x-none"/>
    </w:rPr>
  </w:style>
  <w:style w:type="character" w:customStyle="1" w:styleId="Heading5Char">
    <w:name w:val="Heading 5 Char"/>
    <w:basedOn w:val="DefaultParagraphFont"/>
    <w:link w:val="Heading5"/>
    <w:uiPriority w:val="9"/>
    <w:semiHidden/>
    <w:locked/>
    <w:rPr>
      <w:rFonts w:asciiTheme="minorHAnsi" w:eastAsiaTheme="minorEastAsia" w:hAnsiTheme="minorHAnsi" w:cs="Times New Roman"/>
      <w:b/>
      <w:bCs/>
      <w:i/>
      <w:iCs/>
      <w:sz w:val="26"/>
      <w:szCs w:val="26"/>
      <w:lang w:val="en-AU" w:eastAsia="x-none"/>
    </w:rPr>
  </w:style>
  <w:style w:type="paragraph" w:styleId="Footer">
    <w:name w:val="footer"/>
    <w:basedOn w:val="Normal"/>
    <w:link w:val="FooterChar"/>
    <w:uiPriority w:val="99"/>
    <w:pPr>
      <w:tabs>
        <w:tab w:val="center" w:pos="4896"/>
        <w:tab w:val="right" w:pos="9792"/>
      </w:tabs>
      <w:spacing w:before="60"/>
    </w:pPr>
    <w:rPr>
      <w:rFonts w:ascii="Arial" w:hAnsi="Arial"/>
      <w:sz w:val="20"/>
      <w:szCs w:val="20"/>
    </w:rPr>
  </w:style>
  <w:style w:type="character" w:customStyle="1" w:styleId="FooterChar">
    <w:name w:val="Footer Char"/>
    <w:basedOn w:val="DefaultParagraphFont"/>
    <w:link w:val="Footer"/>
    <w:uiPriority w:val="99"/>
    <w:semiHidden/>
    <w:locked/>
    <w:rPr>
      <w:rFonts w:cs="Times New Roman"/>
      <w:sz w:val="26"/>
      <w:szCs w:val="26"/>
      <w:lang w:val="en-AU" w:eastAsia="x-none"/>
    </w:rPr>
  </w:style>
  <w:style w:type="character" w:styleId="PageNumber">
    <w:name w:val="page number"/>
    <w:basedOn w:val="DefaultParagraphFont"/>
    <w:uiPriority w:val="99"/>
    <w:rPr>
      <w:rFonts w:cs="Times New Roman"/>
    </w:rPr>
  </w:style>
  <w:style w:type="paragraph" w:customStyle="1" w:styleId="Para1">
    <w:name w:val="Para 1"/>
    <w:basedOn w:val="Normal"/>
    <w:uiPriority w:val="99"/>
    <w:pPr>
      <w:numPr>
        <w:numId w:val="11"/>
      </w:numPr>
      <w:spacing w:after="120" w:line="300" w:lineRule="atLeast"/>
    </w:pPr>
  </w:style>
  <w:style w:type="paragraph" w:customStyle="1" w:styleId="Para2">
    <w:name w:val="Para 2"/>
    <w:basedOn w:val="Para1"/>
    <w:uiPriority w:val="99"/>
    <w:pPr>
      <w:numPr>
        <w:numId w:val="0"/>
      </w:numPr>
      <w:ind w:left="567"/>
    </w:pPr>
  </w:style>
  <w:style w:type="paragraph" w:customStyle="1" w:styleId="Catchwords">
    <w:name w:val="Catchwords"/>
    <w:basedOn w:val="Normal"/>
    <w:uiPriority w:val="99"/>
    <w:pPr>
      <w:spacing w:before="100" w:after="100"/>
      <w:jc w:val="both"/>
    </w:pPr>
    <w:rPr>
      <w:sz w:val="20"/>
    </w:rPr>
  </w:style>
  <w:style w:type="paragraph" w:customStyle="1" w:styleId="Quote1">
    <w:name w:val="Quote 1"/>
    <w:basedOn w:val="Normal"/>
    <w:uiPriority w:val="99"/>
    <w:pPr>
      <w:spacing w:after="120"/>
      <w:ind w:left="1134" w:right="567"/>
    </w:pPr>
    <w:rPr>
      <w:sz w:val="24"/>
      <w:szCs w:val="24"/>
    </w:rPr>
  </w:style>
  <w:style w:type="paragraph" w:customStyle="1" w:styleId="Quote2">
    <w:name w:val="Quote 2"/>
    <w:basedOn w:val="Quote1"/>
    <w:uiPriority w:val="99"/>
    <w:pPr>
      <w:ind w:left="1701" w:hanging="567"/>
    </w:pPr>
  </w:style>
  <w:style w:type="paragraph" w:customStyle="1" w:styleId="Para5">
    <w:name w:val="Para 5"/>
    <w:basedOn w:val="Para2"/>
    <w:uiPriority w:val="99"/>
    <w:pPr>
      <w:numPr>
        <w:numId w:val="16"/>
      </w:numPr>
    </w:pPr>
  </w:style>
  <w:style w:type="paragraph" w:customStyle="1" w:styleId="Para4">
    <w:name w:val="Para 4"/>
    <w:basedOn w:val="Para2"/>
    <w:uiPriority w:val="99"/>
    <w:pPr>
      <w:numPr>
        <w:numId w:val="1"/>
      </w:numPr>
    </w:pPr>
  </w:style>
  <w:style w:type="paragraph" w:customStyle="1" w:styleId="TitlePage1">
    <w:name w:val="Title Page 1"/>
    <w:basedOn w:val="Normal"/>
    <w:next w:val="Normal"/>
    <w:uiPriority w:val="99"/>
    <w:pPr>
      <w:spacing w:after="240"/>
    </w:pPr>
    <w:rPr>
      <w:rFonts w:ascii="Arial" w:hAnsi="Arial"/>
      <w:b/>
      <w:caps/>
      <w:sz w:val="24"/>
      <w:szCs w:val="24"/>
    </w:rPr>
  </w:style>
  <w:style w:type="paragraph" w:customStyle="1" w:styleId="TitlePage2">
    <w:name w:val="Title Page 2"/>
    <w:basedOn w:val="TitlePage1"/>
    <w:next w:val="Normal"/>
    <w:uiPriority w:val="99"/>
    <w:pPr>
      <w:spacing w:before="120" w:after="80"/>
    </w:pPr>
  </w:style>
  <w:style w:type="paragraph" w:customStyle="1" w:styleId="TitlePagetext">
    <w:name w:val="Title Page text"/>
    <w:basedOn w:val="Normal"/>
    <w:uiPriority w:val="99"/>
    <w:pPr>
      <w:spacing w:before="80" w:after="100"/>
    </w:p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semiHidden/>
    <w:locked/>
    <w:rPr>
      <w:rFonts w:cs="Times New Roman"/>
      <w:sz w:val="26"/>
      <w:szCs w:val="26"/>
      <w:lang w:val="en-AU" w:eastAsia="x-none"/>
    </w:rPr>
  </w:style>
  <w:style w:type="paragraph" w:customStyle="1" w:styleId="NumberedOrder">
    <w:name w:val="Numbered Order"/>
    <w:basedOn w:val="Normal"/>
    <w:uiPriority w:val="99"/>
    <w:pPr>
      <w:spacing w:after="120" w:line="300" w:lineRule="atLeast"/>
    </w:pPr>
  </w:style>
  <w:style w:type="paragraph" w:styleId="FootnoteText">
    <w:name w:val="footnote text"/>
    <w:basedOn w:val="Normal"/>
    <w:link w:val="FootnoteTextChar"/>
    <w:uiPriority w:val="99"/>
    <w:semiHidden/>
    <w:pPr>
      <w:ind w:left="567" w:hanging="567"/>
    </w:pPr>
    <w:rPr>
      <w:sz w:val="20"/>
      <w:szCs w:val="20"/>
    </w:rPr>
  </w:style>
  <w:style w:type="character" w:customStyle="1" w:styleId="FootnoteTextChar">
    <w:name w:val="Footnote Text Char"/>
    <w:basedOn w:val="DefaultParagraphFont"/>
    <w:link w:val="FootnoteText"/>
    <w:uiPriority w:val="99"/>
    <w:semiHidden/>
    <w:locked/>
    <w:rPr>
      <w:rFonts w:cs="Times New Roman"/>
      <w:sz w:val="20"/>
      <w:szCs w:val="20"/>
      <w:lang w:val="en-AU" w:eastAsia="x-none"/>
    </w:rPr>
  </w:style>
  <w:style w:type="character" w:styleId="FootnoteReference">
    <w:name w:val="footnote reference"/>
    <w:basedOn w:val="DefaultParagraphFont"/>
    <w:uiPriority w:val="99"/>
    <w:semiHidden/>
    <w:rPr>
      <w:rFonts w:cs="Times New Roman"/>
      <w:vertAlign w:val="superscript"/>
    </w:rPr>
  </w:style>
  <w:style w:type="paragraph" w:customStyle="1" w:styleId="Order1">
    <w:name w:val="Order 1"/>
    <w:basedOn w:val="Normal"/>
    <w:uiPriority w:val="99"/>
    <w:pPr>
      <w:spacing w:after="120"/>
    </w:pPr>
  </w:style>
  <w:style w:type="paragraph" w:customStyle="1" w:styleId="Order2">
    <w:name w:val="Order 2"/>
    <w:basedOn w:val="Order1"/>
    <w:uiPriority w:val="99"/>
    <w:pPr>
      <w:numPr>
        <w:numId w:val="7"/>
      </w:numPr>
      <w:spacing w:line="300" w:lineRule="atLeast"/>
    </w:pPr>
  </w:style>
  <w:style w:type="paragraph" w:customStyle="1" w:styleId="StyleTitlePagetextRight">
    <w:name w:val="Style Title Page text + Right"/>
    <w:basedOn w:val="TitlePagetext"/>
    <w:uiPriority w:val="99"/>
    <w:pPr>
      <w:jc w:val="right"/>
    </w:pPr>
    <w:rPr>
      <w:szCs w:val="20"/>
    </w:rPr>
  </w:style>
  <w:style w:type="paragraph" w:customStyle="1" w:styleId="Para3">
    <w:name w:val="Para 3"/>
    <w:basedOn w:val="Para2"/>
    <w:uiPriority w:val="99"/>
    <w:pPr>
      <w:numPr>
        <w:numId w:val="9"/>
      </w:numPr>
    </w:pPr>
  </w:style>
  <w:style w:type="character" w:customStyle="1" w:styleId="recommendstepChar">
    <w:name w:val="recommend step Char"/>
    <w:basedOn w:val="DefaultParagraphFont"/>
    <w:link w:val="recommendstep"/>
    <w:uiPriority w:val="99"/>
    <w:locked/>
    <w:rsid w:val="00482EAA"/>
    <w:rPr>
      <w:rFonts w:ascii="Arial" w:hAnsi="Arial" w:cs="Times New Roman"/>
      <w:b/>
      <w:sz w:val="24"/>
      <w:lang w:val="en-GB" w:eastAsia="x-none" w:bidi="ar-SA"/>
    </w:rPr>
  </w:style>
  <w:style w:type="paragraph" w:customStyle="1" w:styleId="Quote3">
    <w:name w:val="Quote 3"/>
    <w:basedOn w:val="Quote2"/>
    <w:uiPriority w:val="99"/>
    <w:pPr>
      <w:numPr>
        <w:numId w:val="18"/>
      </w:numPr>
    </w:pPr>
  </w:style>
  <w:style w:type="paragraph" w:customStyle="1" w:styleId="TitlePage3">
    <w:name w:val="Title Page 3"/>
    <w:basedOn w:val="TitlePage2"/>
    <w:uiPriority w:val="99"/>
    <w:pPr>
      <w:spacing w:before="20" w:after="0"/>
      <w:jc w:val="right"/>
    </w:pPr>
    <w:rPr>
      <w:b w:val="0"/>
      <w:sz w:val="16"/>
    </w:rPr>
  </w:style>
  <w:style w:type="paragraph" w:customStyle="1" w:styleId="recommendstep">
    <w:name w:val="recommend step"/>
    <w:basedOn w:val="Normal"/>
    <w:link w:val="recommendstepChar"/>
    <w:uiPriority w:val="99"/>
    <w:rsid w:val="00482EAA"/>
    <w:pPr>
      <w:spacing w:before="240"/>
      <w:ind w:left="851"/>
      <w:jc w:val="both"/>
    </w:pPr>
    <w:rPr>
      <w:rFonts w:ascii="Arial" w:hAnsi="Arial"/>
      <w:b/>
      <w:sz w:val="24"/>
      <w:szCs w:val="20"/>
      <w:lang w:val="en-GB"/>
    </w:rPr>
  </w:style>
  <w:style w:type="paragraph" w:styleId="BodyTextIndent">
    <w:name w:val="Body Text Indent"/>
    <w:basedOn w:val="Normal"/>
    <w:link w:val="BodyTextIndentChar"/>
    <w:uiPriority w:val="99"/>
    <w:rsid w:val="00EE0A39"/>
    <w:pPr>
      <w:ind w:left="720"/>
    </w:pPr>
    <w:rPr>
      <w:rFonts w:ascii="Arial" w:hAnsi="Arial"/>
      <w:b/>
      <w:sz w:val="22"/>
      <w:szCs w:val="20"/>
      <w:lang w:eastAsia="en-AU"/>
    </w:rPr>
  </w:style>
  <w:style w:type="character" w:customStyle="1" w:styleId="BodyTextIndentChar">
    <w:name w:val="Body Text Indent Char"/>
    <w:basedOn w:val="DefaultParagraphFont"/>
    <w:link w:val="BodyTextIndent"/>
    <w:uiPriority w:val="99"/>
    <w:locked/>
    <w:rsid w:val="00EE0A39"/>
    <w:rPr>
      <w:rFonts w:ascii="Arial" w:hAnsi="Arial" w:cs="Times New Roman"/>
      <w:b/>
      <w:sz w:val="22"/>
      <w:lang w:val="en-AU" w:eastAsia="en-AU"/>
    </w:rPr>
  </w:style>
  <w:style w:type="paragraph" w:styleId="Title">
    <w:name w:val="Title"/>
    <w:basedOn w:val="Normal"/>
    <w:next w:val="Normal"/>
    <w:link w:val="TitleChar"/>
    <w:uiPriority w:val="99"/>
    <w:qFormat/>
    <w:rsid w:val="00EE0A39"/>
    <w:pPr>
      <w:spacing w:before="240" w:after="60"/>
      <w:jc w:val="center"/>
      <w:outlineLvl w:val="0"/>
    </w:pPr>
    <w:rPr>
      <w:rFonts w:ascii="Cambria" w:hAnsi="Cambria"/>
      <w:b/>
      <w:bCs/>
      <w:kern w:val="28"/>
      <w:sz w:val="32"/>
      <w:szCs w:val="32"/>
      <w:lang w:eastAsia="en-AU"/>
    </w:rPr>
  </w:style>
  <w:style w:type="character" w:customStyle="1" w:styleId="TitleChar">
    <w:name w:val="Title Char"/>
    <w:basedOn w:val="DefaultParagraphFont"/>
    <w:link w:val="Title"/>
    <w:uiPriority w:val="99"/>
    <w:locked/>
    <w:rsid w:val="00EE0A39"/>
    <w:rPr>
      <w:rFonts w:ascii="Cambria" w:hAnsi="Cambria" w:cs="Times New Roman"/>
      <w:b/>
      <w:kern w:val="28"/>
      <w:sz w:val="32"/>
      <w:lang w:val="en-AU" w:eastAsia="en-AU"/>
    </w:rPr>
  </w:style>
  <w:style w:type="paragraph" w:styleId="BodyText">
    <w:name w:val="Body Text"/>
    <w:basedOn w:val="Normal"/>
    <w:link w:val="BodyTextChar"/>
    <w:uiPriority w:val="99"/>
    <w:rsid w:val="00EE0A39"/>
    <w:rPr>
      <w:rFonts w:ascii="Arial" w:hAnsi="Arial"/>
      <w:sz w:val="22"/>
      <w:szCs w:val="20"/>
      <w:lang w:val="en-US" w:eastAsia="en-AU"/>
    </w:rPr>
  </w:style>
  <w:style w:type="character" w:customStyle="1" w:styleId="BodyTextChar">
    <w:name w:val="Body Text Char"/>
    <w:basedOn w:val="DefaultParagraphFont"/>
    <w:link w:val="BodyText"/>
    <w:uiPriority w:val="99"/>
    <w:locked/>
    <w:rsid w:val="00EE0A39"/>
    <w:rPr>
      <w:rFonts w:ascii="Arial" w:hAnsi="Arial" w:cs="Times New Roman"/>
      <w:sz w:val="22"/>
      <w:lang w:val="en-US" w:eastAsia="en-AU"/>
    </w:rPr>
  </w:style>
  <w:style w:type="paragraph" w:styleId="BodyTextIndent2">
    <w:name w:val="Body Text Indent 2"/>
    <w:basedOn w:val="Normal"/>
    <w:link w:val="BodyTextIndent2Char"/>
    <w:uiPriority w:val="99"/>
    <w:rsid w:val="00EE0A39"/>
    <w:pPr>
      <w:ind w:left="720"/>
    </w:pPr>
    <w:rPr>
      <w:rFonts w:ascii="Arial" w:hAnsi="Arial"/>
      <w:sz w:val="22"/>
      <w:szCs w:val="20"/>
      <w:lang w:val="en-US" w:eastAsia="en-AU"/>
    </w:rPr>
  </w:style>
  <w:style w:type="character" w:customStyle="1" w:styleId="BodyTextIndent2Char">
    <w:name w:val="Body Text Indent 2 Char"/>
    <w:basedOn w:val="DefaultParagraphFont"/>
    <w:link w:val="BodyTextIndent2"/>
    <w:uiPriority w:val="99"/>
    <w:locked/>
    <w:rsid w:val="00EE0A39"/>
    <w:rPr>
      <w:rFonts w:ascii="Arial" w:hAnsi="Arial" w:cs="Times New Roman"/>
      <w:sz w:val="22"/>
      <w:lang w:val="en-US" w:eastAsia="en-AU"/>
    </w:rPr>
  </w:style>
  <w:style w:type="paragraph" w:styleId="NormalWeb">
    <w:name w:val="Normal (Web)"/>
    <w:basedOn w:val="Normal"/>
    <w:uiPriority w:val="99"/>
    <w:rsid w:val="00843E0E"/>
    <w:pPr>
      <w:spacing w:before="100" w:beforeAutospacing="1" w:after="100" w:afterAutospacing="1"/>
    </w:pPr>
    <w:rPr>
      <w:color w:val="000000"/>
      <w:sz w:val="24"/>
      <w:szCs w:val="24"/>
      <w:lang w:eastAsia="en-AU"/>
    </w:rPr>
  </w:style>
  <w:style w:type="paragraph" w:styleId="BalloonText">
    <w:name w:val="Balloon Text"/>
    <w:basedOn w:val="Normal"/>
    <w:link w:val="BalloonTextChar"/>
    <w:uiPriority w:val="99"/>
    <w:semiHidden/>
    <w:unhideWhenUsed/>
    <w:rsid w:val="00105C7A"/>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05C7A"/>
    <w:rPr>
      <w:rFonts w:ascii="Tahoma" w:hAnsi="Tahoma" w:cs="Tahoma"/>
      <w:sz w:val="16"/>
      <w:szCs w:val="16"/>
      <w:lang w:val="en-AU"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005711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H:\data\template\APL%20Order%20v3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APL Order v3a</Template>
  <TotalTime>1</TotalTime>
  <Pages>10</Pages>
  <Words>2789</Words>
  <Characters>15899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VICTORIAN CIVIL AND ADMINISTRATIVE TRIBUNAL</vt:lpstr>
    </vt:vector>
  </TitlesOfParts>
  <Company/>
  <LinksUpToDate>false</LinksUpToDate>
  <CharactersWithSpaces>18651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VICTORIAN CIVIL AND ADMINISTRATIVE TRIBUNAL</dc:title>
  <dc:creator>pparasta</dc:creator>
  <cp:lastModifiedBy>Matthew Townsend</cp:lastModifiedBy>
  <cp:revision>2</cp:revision>
  <cp:lastPrinted>2013-06-18T00:06:00Z</cp:lastPrinted>
  <dcterms:created xsi:type="dcterms:W3CDTF">2013-06-18T07:52:00Z</dcterms:created>
  <dcterms:modified xsi:type="dcterms:W3CDTF">2013-06-18T07:52:00Z</dcterms:modified>
</cp:coreProperties>
</file>